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mbmf-20260825.htm"/>
      <w:bookmarkStart w:id="1" w:name="kscmbmf20260825"/>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25,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 xml:space="preserve">CAMBIUM NETWORKS CORPORATION </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286" w:type="dxa"/>
        <w:jc w:val="left"/>
        <w:tblInd w:w="0" w:type="dxa"/>
        <w:tblLayout w:type="fixed"/>
        <w:tblCellMar>
          <w:top w:w="28" w:type="dxa"/>
          <w:left w:w="28" w:type="dxa"/>
          <w:bottom w:w="28" w:type="dxa"/>
          <w:right w:w="28" w:type="dxa"/>
        </w:tblCellMar>
      </w:tblPr>
      <w:tblGrid>
        <w:gridCol w:w="1101"/>
        <w:gridCol w:w="999"/>
        <w:gridCol w:w="1004"/>
        <w:gridCol w:w="1846"/>
        <w:gridCol w:w="1336"/>
      </w:tblGrid>
      <w:tr>
        <w:trPr/>
        <w:tc>
          <w:tcPr>
            <w:tcW w:w="110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Cayman Islands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001-38952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00-0000000</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0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 Cambium Networks, Inc.</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2000 Center Drive, Suite East A401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Hoffman Estates,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60192</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345</w:t>
            </w:r>
            <w:r>
              <w:rPr>
                <w:rFonts w:ascii="Times New Roman" w:hAnsi="Times New Roman"/>
                <w:color w:val="000000"/>
                <w:sz w:val="20"/>
              </w:rPr>
              <w:t xml:space="preserve"> </w:t>
            </w:r>
            <w:r>
              <w:rPr>
                <w:rFonts w:ascii="Times New Roman" w:hAnsi="Times New Roman"/>
                <w:b/>
                <w:color w:val="000000"/>
                <w:sz w:val="20"/>
              </w:rPr>
              <w:t>814-7600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005" w:type="dxa"/>
        <w:jc w:val="left"/>
        <w:tblInd w:w="0" w:type="dxa"/>
        <w:tblLayout w:type="fixed"/>
        <w:tblCellMar>
          <w:top w:w="28" w:type="dxa"/>
          <w:left w:w="28" w:type="dxa"/>
          <w:bottom w:w="28" w:type="dxa"/>
          <w:right w:w="28" w:type="dxa"/>
        </w:tblCellMar>
      </w:tblPr>
      <w:tblGrid>
        <w:gridCol w:w="2941"/>
        <w:gridCol w:w="146"/>
        <w:gridCol w:w="946"/>
        <w:gridCol w:w="146"/>
        <w:gridCol w:w="382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$0.0001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CMBMF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3.01 Notice of Delisting or Failure to Satisfy a Continued Listing Rule or Standard; Transfer of Listing.</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 xml:space="preserve">On August 25, 2026, Cambium Networks Corporation (the “Company”) received a decision from the Nasdaq Listing and Hearing Review Council (the “Listing Council”) affirming the March 25, 2026 determination of the Nasdaq Hearings Panel (the “Panel”) to delist the Company’s ordinary shares from The Nasdaq Stock Market LLC (“Nasdaq”) based on the Company’s prior non-compliance with Nasdaq Listing Rule 5250(c)(1). Trading in the Company’s ordinary shares has been suspended on Nasdaq since March 27, 2026. The board of directors of Nasdaq may, in its sole discretion, call the Listing Council’s decision for review pursuant to Nasdaq Listing Rule 5825. The Company expects its ordinary shares to continue to be available for quotation on the OTC Markets Group’s Expert Market. </w:t>
      </w:r>
    </w:p>
    <w:p>
      <w:pPr>
        <w:pStyle w:val="TextBody"/>
        <w:bidi w:val="0"/>
        <w:spacing w:before="0" w:after="12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This Current Report on Form 8-K contains forward-looking statements, including, but not limited to statements relating to Nasdaq’s decision to delist the Company and the Company’s eligibility to trade on the OTC Markets system, as well as words such as “expects,” “anticipates,” “intends,” “plans,” “believes,” “estimates,” “seeks,” “assumes,” “may,” “should,” “could,” “would,” and variations of such words and similar expressions are intended to identify such forward-looking statements. These forward-looking statements are based upon the Company’s current assumptions, beliefs, and expectations. Forward-looking statements are subject to the occurrence of many events outside of the Company’s control. Actual results and the timing of events may differ materially from those contemplated by such forward-looking statements due to numerous factors that involve substantial known and unknown risks and uncertainties. These risks and uncertainties include, among other things, Nasdaq’s decision to review the Listing Council’s determination. Forward-looking statements should be considered in light of these risks and uncertainties. Investors and others are cautioned not to place undue reliance on forward-looking statements. All forward-looking statements contained herein speak only as of the date hereof. The Company assumes no obligation and does not intend to update these forward-looking statements, except as required by law.</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8027" w:type="dxa"/>
        <w:jc w:val="left"/>
        <w:tblInd w:w="0" w:type="dxa"/>
        <w:tblLayout w:type="fixed"/>
        <w:tblCellMar>
          <w:top w:w="28" w:type="dxa"/>
          <w:left w:w="28" w:type="dxa"/>
          <w:bottom w:w="28" w:type="dxa"/>
          <w:right w:w="28" w:type="dxa"/>
        </w:tblCellMar>
      </w:tblPr>
      <w:tblGrid>
        <w:gridCol w:w="436"/>
        <w:gridCol w:w="7591"/>
      </w:tblGrid>
      <w:tr>
        <w:trPr/>
        <w:tc>
          <w:tcPr>
            <w:tcW w:w="436" w:type="dxa"/>
            <w:tcBorders/>
            <w:vAlign w:val="center"/>
          </w:tcPr>
          <w:p>
            <w:pPr>
              <w:pStyle w:val="TableContents"/>
              <w:bidi w:val="0"/>
              <w:spacing w:before="0" w:after="283"/>
              <w:jc w:val="left"/>
              <w:rPr>
                <w:sz w:val="4"/>
                <w:szCs w:val="4"/>
              </w:rPr>
            </w:pPr>
            <w:r>
              <w:rPr>
                <w:sz w:val="4"/>
                <w:szCs w:val="4"/>
              </w:rPr>
            </w:r>
          </w:p>
        </w:tc>
        <w:tc>
          <w:tcPr>
            <w:tcW w:w="7591"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5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Cover Page Interactive Data File (formatting in Inline XBRL and contained in Exhibit 101)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334" w:type="dxa"/>
        <w:jc w:val="left"/>
        <w:tblInd w:w="0" w:type="dxa"/>
        <w:tblLayout w:type="fixed"/>
        <w:tblCellMar>
          <w:top w:w="28" w:type="dxa"/>
          <w:left w:w="28" w:type="dxa"/>
          <w:bottom w:w="28" w:type="dxa"/>
          <w:right w:w="28" w:type="dxa"/>
        </w:tblCellMar>
      </w:tblPr>
      <w:tblGrid>
        <w:gridCol w:w="556"/>
        <w:gridCol w:w="1516"/>
        <w:gridCol w:w="631"/>
        <w:gridCol w:w="363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CAMBIUM NETWORKS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color w:val="000000"/>
              </w:rPr>
            </w:pPr>
            <w:r>
              <w:rPr>
                <w:color w:val="000000"/>
              </w:rPr>
              <w:t> </w:t>
            </w:r>
            <w:r>
              <w:rPr>
                <w:rFonts w:ascii="Times New Roman" w:hAnsi="Times New Roman"/>
                <w:color w:val="000000"/>
                <w:sz w:val="20"/>
              </w:rPr>
              <w:t>August 31, 2026</w:t>
            </w:r>
          </w:p>
        </w:tc>
        <w:tc>
          <w:tcPr>
            <w:tcW w:w="631" w:type="dxa"/>
            <w:tcBorders/>
            <w:tcMar>
              <w:top w:w="0" w:type="dxa"/>
              <w:left w:w="0" w:type="dxa"/>
              <w:bottom w:w="0" w:type="dxa"/>
              <w:right w:w="0" w:type="dxa"/>
            </w:tcMar>
            <w:vAlign w:val="center"/>
          </w:tcPr>
          <w:p>
            <w:pPr>
              <w:pStyle w:val="TableContents"/>
              <w:bidi w:val="0"/>
              <w:spacing w:before="86" w:after="283"/>
              <w:jc w:val="right"/>
              <w:rPr>
                <w:rFonts w:ascii="Times New Roman" w:hAnsi="Times New Roman"/>
                <w:color w:val="000000"/>
                <w:sz w:val="20"/>
              </w:rPr>
            </w:pPr>
            <w:r>
              <w:rPr>
                <w:rFonts w:ascii="Times New Roman" w:hAnsi="Times New Roman"/>
                <w:color w:val="000000"/>
                <w:sz w:val="20"/>
              </w:rPr>
              <w:t xml:space="preserve">By: </w:t>
            </w:r>
          </w:p>
        </w:tc>
        <w:tc>
          <w:tcPr>
            <w:tcW w:w="3631" w:type="dxa"/>
            <w:tcBorders>
              <w:bottom w:val="single" w:sz="2" w:space="0" w:color="000000"/>
            </w:tcBorders>
            <w:tcMar>
              <w:top w:w="0" w:type="dxa"/>
              <w:left w:w="0" w:type="dxa"/>
              <w:right w:w="0" w:type="dxa"/>
            </w:tcMar>
            <w:vAlign w:val="center"/>
          </w:tcPr>
          <w:p>
            <w:pPr>
              <w:pStyle w:val="TableContents"/>
              <w:bidi w:val="0"/>
              <w:spacing w:before="86" w:after="283"/>
              <w:jc w:val="left"/>
              <w:rPr/>
            </w:pPr>
            <w:r>
              <w:rPr>
                <w:color w:val="000000"/>
              </w:rPr>
              <w:t>  </w:t>
            </w:r>
            <w:r>
              <w:rPr>
                <w:rFonts w:ascii="Times New Roman" w:hAnsi="Times New Roman"/>
                <w:color w:val="000000"/>
                <w:sz w:val="20"/>
              </w:rPr>
              <w:t xml:space="preserve">/S/ </w:t>
            </w:r>
            <w:r>
              <w:rPr>
                <w:rFonts w:ascii="Times New Roman" w:hAnsi="Times New Roman"/>
                <w:smallCaps/>
                <w:color w:val="000000"/>
                <w:sz w:val="20"/>
              </w:rPr>
              <w:t>Sally Rau</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Title:</w:t>
            </w:r>
          </w:p>
        </w:tc>
        <w:tc>
          <w:tcPr>
            <w:tcW w:w="3631" w:type="dxa"/>
            <w:tcBorders/>
            <w:tcMar>
              <w:top w:w="0" w:type="dxa"/>
              <w:left w:w="0" w:type="dxa"/>
              <w:bottom w:w="0" w:type="dxa"/>
              <w:right w:w="0" w:type="dxa"/>
            </w:tcMar>
            <w:vAlign w:val="center"/>
          </w:tcPr>
          <w:p>
            <w:pPr>
              <w:pStyle w:val="TableContents"/>
              <w:bidi w:val="0"/>
              <w:spacing w:before="14" w:after="187"/>
              <w:jc w:val="left"/>
              <w:rPr>
                <w:color w:val="000000"/>
              </w:rPr>
            </w:pPr>
            <w:r>
              <w:rPr>
                <w:color w:val="000000"/>
              </w:rPr>
              <w:t>  </w:t>
            </w:r>
            <w:r>
              <w:rPr>
                <w:rFonts w:ascii="Times New Roman" w:hAnsi="Times New Roman"/>
                <w:color w:val="000000"/>
                <w:sz w:val="20"/>
              </w:rPr>
              <w:t>Sally Rau</w:t>
              <w:br/>
              <w:t>  Chief Legal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707</Words>
  <Characters>4078</Characters>
  <CharactersWithSpaces>4783</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