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1960" w:hanging="3899"/>
        <w:spacing w:after="0" w:line="310"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001-38952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CAMBIUM NETWORKS CORPORATION</w:t>
      </w:r>
    </w:p>
    <w:p>
      <w:pPr>
        <w:sectPr>
          <w:pgSz w:w="11900" w:h="16838" w:orient="portrait"/>
          <w:cols w:equalWidth="0" w:num="1">
            <w:col w:w="11240"/>
          </w:cols>
          <w:pgMar w:left="320" w:top="867" w:right="339" w:bottom="1440" w:gutter="0" w:footer="0" w:header="0"/>
        </w:sectPr>
      </w:pPr>
    </w:p>
    <w:p>
      <w:pPr>
        <w:spacing w:after="0" w:line="5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c/o Cambium Networks, Inc.</w:t>
      </w:r>
    </w:p>
    <w:p>
      <w:pPr>
        <w:spacing w:after="0" w:line="12"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b w:val="1"/>
          <w:bCs w:val="1"/>
          <w:color w:val="auto"/>
        </w:rPr>
        <w:t>2000 Center Drive, Suite East A401</w:t>
      </w:r>
    </w:p>
    <w:p>
      <w:pPr>
        <w:spacing w:after="0" w:line="2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Hoffman Estates, Illinois</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(I.R.S. Employer</w:t>
      </w:r>
    </w:p>
    <w:p>
      <w:pPr>
        <w:ind w:left="10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pacing w:after="0" w:line="2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60192</w:t>
      </w:r>
    </w:p>
    <w:p>
      <w:pPr>
        <w:spacing w:after="0" w:line="27" w:lineRule="exact"/>
        <w:rPr>
          <w:sz w:val="24"/>
          <w:szCs w:val="24"/>
          <w:color w:val="auto"/>
        </w:rPr>
      </w:pPr>
    </w:p>
    <w:p>
      <w:pPr>
        <w:sectPr>
          <w:pgSz w:w="11900" w:h="16838" w:orient="portrait"/>
          <w:cols w:equalWidth="0" w:num="2">
            <w:col w:w="7640" w:space="200"/>
            <w:col w:w="3400"/>
          </w:cols>
          <w:pgMar w:left="320" w:top="867"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(345) 814-7600</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-106680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5"/>
                <w:szCs w:val="15"/>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2"/>
        </w:trPr>
        <w:tc>
          <w:tcPr>
            <w:tcW w:w="4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Ordinary shares, $0.0001 par value</w:t>
            </w:r>
          </w:p>
        </w:tc>
        <w:tc>
          <w:tcPr>
            <w:tcW w:w="1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CMBMF*</w:t>
            </w: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 (OTC Markets Group, Inc.)*</w:t>
            </w:r>
          </w:p>
        </w:tc>
      </w:tr>
      <w:tr>
        <w:trPr>
          <w:trHeight w:val="212"/>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bl>
    <w:p>
      <w:pPr>
        <w:ind w:right="3060"/>
        <w:spacing w:after="0" w:line="23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340"/>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14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40"/>
        <w:spacing w:after="0" w:line="25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34" w:lineRule="exact"/>
        <w:rPr>
          <w:sz w:val="24"/>
          <w:szCs w:val="24"/>
          <w:color w:val="auto"/>
        </w:rPr>
      </w:pPr>
    </w:p>
    <w:p>
      <w:pPr>
        <w:ind w:right="600"/>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160"/>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100"/>
        <w:spacing w:after="0" w:line="196" w:lineRule="exact"/>
        <w:rPr>
          <w:sz w:val="20"/>
          <w:szCs w:val="20"/>
          <w:color w:val="auto"/>
        </w:rPr>
      </w:pPr>
      <w:r>
        <w:rPr>
          <w:rFonts w:ascii="Times New Roman" w:cs="Times New Roman" w:eastAsia="Times New Roman" w:hAnsi="Times New Roman"/>
          <w:sz w:val="15"/>
          <w:szCs w:val="15"/>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231F20"/>
        </w:rPr>
        <w:t>☒</w:t>
      </w:r>
    </w:p>
    <w:p>
      <w:pPr>
        <w:spacing w:after="0" w:line="1" w:lineRule="exact"/>
        <w:rPr>
          <w:sz w:val="24"/>
          <w:szCs w:val="24"/>
          <w:color w:val="auto"/>
        </w:rPr>
      </w:pPr>
    </w:p>
    <w:p>
      <w:pPr>
        <w:ind w:right="200"/>
        <w:spacing w:after="0" w:line="196" w:lineRule="exact"/>
        <w:rPr>
          <w:sz w:val="20"/>
          <w:szCs w:val="20"/>
          <w:color w:val="auto"/>
        </w:rPr>
      </w:pPr>
      <w:r>
        <w:rPr>
          <w:rFonts w:ascii="Times New Roman" w:cs="Times New Roman" w:eastAsia="Times New Roman" w:hAnsi="Times New Roman"/>
          <w:sz w:val="15"/>
          <w:szCs w:val="15"/>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000000"/>
        </w:rPr>
        <w:t>☐</w:t>
      </w:r>
    </w:p>
    <w:p>
      <w:pPr>
        <w:spacing w:after="0" w:line="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ind w:right="60"/>
        <w:spacing w:after="0" w:line="235" w:lineRule="auto"/>
        <w:rPr>
          <w:sz w:val="20"/>
          <w:szCs w:val="20"/>
          <w:color w:val="auto"/>
        </w:rPr>
      </w:pPr>
      <w:r>
        <w:rPr>
          <w:rFonts w:ascii="Times New Roman" w:cs="Times New Roman" w:eastAsia="Times New Roman" w:hAnsi="Times New Roman"/>
          <w:sz w:val="15"/>
          <w:szCs w:val="15"/>
          <w:color w:val="auto"/>
        </w:rPr>
        <w:t>The aggregate market value of the ordinary shares held by non-affiliates on June 30, 2025 (the last business day of the registrant’s most recently completed second fiscal quarter), based on the last sale price of the common shares on that date of $0.4050 was $5,419,541.93. For purposes of this calculation, shares held by Vector Capital and our executive offices</w:t>
      </w:r>
    </w:p>
    <w:p>
      <w:pPr>
        <w:ind w:right="220"/>
        <w:spacing w:after="0" w:line="220" w:lineRule="auto"/>
        <w:rPr>
          <w:sz w:val="20"/>
          <w:szCs w:val="20"/>
          <w:color w:val="auto"/>
        </w:rPr>
      </w:pPr>
      <w:r>
        <w:rPr>
          <w:rFonts w:ascii="Times New Roman" w:cs="Times New Roman" w:eastAsia="Times New Roman" w:hAnsi="Times New Roman"/>
          <w:sz w:val="15"/>
          <w:szCs w:val="15"/>
          <w:color w:val="auto"/>
        </w:rPr>
        <w:t xml:space="preserve">and members of our board of directors are deemed to be affiliates of the registrant and are excluded from the calculation.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As previously disclosed on March 26, 2026, following receipt of a delisting notice from The Nasdaq Stock Market LLC, trading in the Company's ordinary shares on the Nasdaq Global Market was suspended on March 27, 2026 and on March 30, 2026, the Company's ordinary shares commenced trading on the OTC Expert Market under the symbol "CMBMF".</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April 23, 2026 there were 29,031,302 shares of the registrant’s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0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3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3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4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43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4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5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0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federal securities laws. All statements other than statements of historical fact contained in this Annual Report on Form 10-K,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some cases, forward-looking statements may be identified by terms such as “may,” “should,” “expects,” “plans,” “anticipates,” “could,” “intends,” “target,” “projects,”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risks, uncertainties and assumptions described in Item 1A, “Risk Factors” and elsewhere in this Annual Report on Form 10-K. Because forward-looking statements are inherently subject to risks and uncertainties, some of which cannot be predicted or quantified, they should not be relied upon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8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regain listing on The Nasdaq Stock Market;</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regain compliance with or obtain a waiver of compliance with the financial covenants under our secured credit facilities;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respond to emerging technological trends and network operators’ changing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future customer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ability to effectively manage inventory of our products, timely resell our products or estimate expected future demand;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inventory and the risk of excess or obsolete inventory in our supply chain or channel;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competitive pressures on our development of new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caused by political tensions around the world including the wars in Ukraine as well as tensions between the United States and China and events in Israel, Gaza, Iran and the Middle East;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or other regulatory changes imposed by the United States or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dollar and the impact of currency fluctuations on the cost of our products globally;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economic conditions, both domestically and in our foreign markets, including the risk of global or localized recessions;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acquire components required to build our products as well as the impact of supply shortages, extended lead times or changes in supply of components and other parts required to manufacture our products;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which subjects us to risks of product delivery delays and reduced control over product costs and quality;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distributors and value-added resellers for the substantial majority of our sales;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third-party logistics and warehousing providers to deliver products to our channel partners and network operators in a timely manner;</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complexity of our products, which may contain undetected hardware defects or software bugs or subject our products to the risks of ransomware or malware or other cyber-attacks;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of our channel partners, which could adversely affect their ability to purchase or pay for our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intellectual property protections for our products;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material weaknesses in and our ability to maintain an effective system of internal controls, produce timely and accurate financial statements or comply with applicable regulations;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threatened health epidemics and other outbreaks.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11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Except as required by applicable law, we do not plan to publicly update or revise any forward-looking statements contained herein, whether as a result of any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120" w:firstLine="562"/>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37" w:lineRule="exact"/>
        <w:rPr>
          <w:sz w:val="20"/>
          <w:szCs w:val="20"/>
          <w:color w:val="auto"/>
        </w:rPr>
      </w:pPr>
    </w:p>
    <w:p>
      <w:pPr>
        <w:ind w:left="760" w:right="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ordinary shares have been delisted from the Nasdaq Stock Market and there is no guarantee that our ordinary shares will be regularly traded on the over-the-counter markets.</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can be difficult to predict and may fluctuate significantly, which could result in a failure to meet investor expectations or our guidance and a decline in the trading price of our shares.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requirements may require us to seek additional debt or equity financing and we may not be able to obtain such financing on favorable terms, or at all.</w:t>
      </w:r>
    </w:p>
    <w:p>
      <w:pPr>
        <w:spacing w:after="0" w:line="53" w:lineRule="exact"/>
        <w:rPr>
          <w:rFonts w:ascii="Times New Roman" w:cs="Times New Roman" w:eastAsia="Times New Roman" w:hAnsi="Times New Roman"/>
          <w:sz w:val="18"/>
          <w:szCs w:val="18"/>
          <w:color w:val="auto"/>
        </w:rPr>
      </w:pPr>
    </w:p>
    <w:p>
      <w:pPr>
        <w:jc w:val="both"/>
        <w:ind w:left="760" w:right="54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several material weaknesses in our internal controls over financial reporting which have resulted in our failure to timely file our financial statements. If we fail to remediate these material weaknesses and maintain an effective system of internal controls, our ability to produce timely and accurate financial statements or comply with applicable regulations could continue to be impaired.</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facility contains restrictive financial covenants that limit our operating flexibility. Our continued failure to comply with all of these financial covenants has caused us to be in default, which could have an adverse effect on our business and prospects.</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continue to be unable to meet our financial covenants under our Credit Agreement, which creates doubt about our ability to continue as a going concern.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 accordingly, holders of our ordinary shares could suffer a total loss of their investment.</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and technology is key to our success, and if we fail to predict and respond to emerging technological trends and network operators’ changing needs, we may be unable to remain competitive.</w:t>
      </w:r>
    </w:p>
    <w:p>
      <w:pPr>
        <w:spacing w:after="0" w:line="53" w:lineRule="exact"/>
        <w:rPr>
          <w:rFonts w:ascii="Times New Roman" w:cs="Times New Roman" w:eastAsia="Times New Roman" w:hAnsi="Times New Roman"/>
          <w:sz w:val="18"/>
          <w:szCs w:val="18"/>
          <w:color w:val="auto"/>
        </w:rPr>
      </w:pPr>
    </w:p>
    <w:p>
      <w:pPr>
        <w:ind w:left="760" w:right="160" w:hanging="378"/>
        <w:spacing w:after="0" w:line="31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United States tax, tariff, import/export restrictions, regulations or other trade barriers, including any such restrictions, regulations, or trade barriers adopted by other governments, may have a negative effect on global economic conditions, financial markets and our business.</w:t>
      </w:r>
    </w:p>
    <w:p>
      <w:pPr>
        <w:spacing w:after="0" w:line="31" w:lineRule="exact"/>
        <w:rPr>
          <w:rFonts w:ascii="Times New Roman" w:cs="Times New Roman" w:eastAsia="Times New Roman" w:hAnsi="Times New Roman"/>
          <w:sz w:val="17"/>
          <w:szCs w:val="17"/>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continuing uncertain economic conditions or reduced information technology and network infrastructure spending may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war, and other events may harm our business, operating results and financial condition.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may harm our business, revenues, growth rates and market share.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distributors do not effectively manage inventory of our products, fail to timely resell our products or overestimate expected future demand, they may reduce purchases in future periods, causing our revenues and operating results to fluctuate or decline.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 varies from period to period and may decline in the future.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 w:name="page5"/>
    <w:bookmarkEnd w:id="4"/>
    <w:p>
      <w:pPr>
        <w:ind w:left="760" w:right="3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effectively forecast demand or manage our inventory, we may be required to record write-downs for excess or obsolete inventory.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which subjects us to risks of product delivery delays and reduced control over product costs and quality.</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third-party components, including components from limited or sole source suppliers, to build our products. The unavailability of these components could substantially disrupt our ability to manufacture our products and fulfill sales orders.</w:t>
      </w:r>
    </w:p>
    <w:p>
      <w:pPr>
        <w:spacing w:after="0" w:line="5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costs or other logistics challenges in the shipment of our products, which may increase cost of revenues or result in a delay of shipments to customers.</w:t>
      </w:r>
    </w:p>
    <w:p>
      <w:pPr>
        <w:spacing w:after="0" w:line="53"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logistics and warehousing provider may fail to deliver products to our channel partners and network operators in a timely manner, which could harm our reputation and operating results.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distributors and value-added resellers for the substantial majority of our sales, and the failure of our channel partners to promote and support sales of our products would materially reduce our expected future revenues.</w:t>
      </w:r>
    </w:p>
    <w:p>
      <w:pPr>
        <w:spacing w:after="0" w:line="53"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technologically complex and may contain undetected hardware defects or software bugs, which could result in increased warranty claims, increased costs, loss of revenues and harm to our reputation.</w:t>
      </w:r>
    </w:p>
    <w:p>
      <w:pPr>
        <w:spacing w:after="0" w:line="53"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is highly dependent on the quality of our support and services offerings, and our failure to offer high-quality support and services could have a material adverse effect on our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revenues are generated by sales to government entities, which are subject to a number of challenges and risks.</w:t>
      </w:r>
    </w:p>
    <w:p>
      <w:pPr>
        <w:spacing w:after="0" w:line="117" w:lineRule="exact"/>
        <w:rPr>
          <w:rFonts w:ascii="Times New Roman" w:cs="Times New Roman" w:eastAsia="Times New Roman" w:hAnsi="Times New Roman"/>
          <w:sz w:val="18"/>
          <w:szCs w:val="18"/>
          <w:color w:val="auto"/>
        </w:rPr>
      </w:pPr>
    </w:p>
    <w:p>
      <w:pPr>
        <w:ind w:left="760" w:right="7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significant amount of revenues from sales outside of the United States, and we are therefore subject to a number of risks associated with international sales and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credit risk of our channel partners, which could result in material losses.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businesses or divest assets, which could require significant management attention, disrupt our business, dilute shareholder value and adversely affect our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21" w:lineRule="exact"/>
        <w:rPr>
          <w:sz w:val="20"/>
          <w:szCs w:val="20"/>
          <w:color w:val="auto"/>
        </w:rPr>
      </w:pPr>
    </w:p>
    <w:p>
      <w:pPr>
        <w:ind w:left="760" w:right="180" w:hanging="378"/>
        <w:spacing w:after="0" w:line="312" w:lineRule="auto"/>
        <w:tabs>
          <w:tab w:leader="none" w:pos="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regulations or standards or changes in existing regulations or standards in the United States or internationally related to our products may result in unanticipated costs or liabilities, which could have a material adverse effect on our business, results of operations and future sales.</w:t>
      </w:r>
    </w:p>
    <w:p>
      <w:pPr>
        <w:spacing w:after="0" w:line="31" w:lineRule="exact"/>
        <w:rPr>
          <w:rFonts w:ascii="Times New Roman" w:cs="Times New Roman" w:eastAsia="Times New Roman" w:hAnsi="Times New Roman"/>
          <w:sz w:val="17"/>
          <w:szCs w:val="17"/>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anticipate technological shifts and develop products and product enhancements that meet these technological shifts in a timely manner we may not be able to compete effectively and our results of operations, financial conditions and prospects may suffer.</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impair our ability to compete in international markets and subject us to liability if we are not in compliance with applicable laws.</w:t>
      </w:r>
    </w:p>
    <w:p>
      <w:pPr>
        <w:spacing w:after="0" w:line="53"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satisfy data protection, security, privacy and other government- and industry-specific requirements or regulations, our business, results of operations and financial condition could be harmed.</w:t>
      </w:r>
    </w:p>
    <w:p>
      <w:pPr>
        <w:spacing w:after="0" w:line="53"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adequately protect personal data could result in claims of liability against us, damage our reputation or otherwise materially harm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760" w:right="60" w:hanging="378"/>
        <w:spacing w:after="0" w:line="289"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Cyber-attacks, data breaches or malware may disrupt our operations, harm our operating results and financial condition, and damage our reputation or otherwise materially harm our business; and cyber-attacks or data breaches on our customers’ networks, or in cloud-based services provided by or enabled by us, could result in claims of liability against us, damage our reputation or otherwise materially harm our business.</w:t>
      </w:r>
    </w:p>
    <w:p>
      <w:pPr>
        <w:spacing w:after="0" w:line="49" w:lineRule="exact"/>
        <w:rPr>
          <w:rFonts w:ascii="Times New Roman" w:cs="Times New Roman" w:eastAsia="Times New Roman" w:hAnsi="Times New Roman"/>
          <w:sz w:val="17"/>
          <w:szCs w:val="17"/>
          <w:color w:val="auto"/>
        </w:rPr>
      </w:pPr>
    </w:p>
    <w:p>
      <w:pPr>
        <w:ind w:left="760" w:right="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Vulnerabilities and critical security defects, prioritization decisions regarding remedying vulnerabilities or security defects, failure of third-party providers to remedy vulnerabilities or security defects, could result in claims of liability against us, damage our reputation, or otherwise materially harm our business.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the development and use of artificial intelligence (AI) could give rise to legal and/or regulatory action, damage our reputation or otherwise materially harm our business.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 w:name="page6"/>
    <w:bookmarkEnd w:id="5"/>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their intellectual property rights could harm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21" w:lineRule="exact"/>
        <w:rPr>
          <w:sz w:val="20"/>
          <w:szCs w:val="20"/>
          <w:color w:val="auto"/>
        </w:rPr>
      </w:pPr>
    </w:p>
    <w:p>
      <w:pPr>
        <w:ind w:left="760" w:right="38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Vector Capital holds a controlling interest in us, the influence of our public shareholders over significant corporate actions will be limited.</w:t>
      </w:r>
    </w:p>
    <w:p>
      <w:pPr>
        <w:spacing w:after="0" w:line="53"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Nasdaq rules and, although our ordinary shares are no longer listed on Nasdaq, we continue to rely on exemptions from certain corporate governance requirements. In the event we regain our listing on Nasdaq and become subject to the Nasdaq listing rules again, we may not be able to meet the additional requirements imposed by Nasdaq on non-controlled companies if we lose our controlled company status.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“Cambium”, “Cambium Networks”, “cnPilot”, “cnMaestro”, “cnMedusa”, “cnArcher”, “cnReach”, “cnHeat”, “cnRanger”, “cnWave”, “cnVision”, “LinkPlanner”, “Xirrus”, “ePMP”, “Canopy” and “cnMatrix”, the Cambium and Xirrus logos and other trademarks or service marks of Cambium Networks, Ltd. appearing in this Annual Report on Form 10-K are the property of Cambium Networks Corporation. This Annual Report on Form 10-K contains additional trade names, trademarks and service marks, which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we do</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Cambium Networks is a global technology company that designs, develops, and manufactures fixed wireless and PON/XGSPON based broadband, Wi-Fi, and local area networking ("LAN") switching infrastructure, and security gateway solutions for a wide range of applications, including broadband access, wireless backhaul, Internet of Things (IoT), public safety communications, and Wi-Fi access. Our products enable service providers, enterprises, industrial organizations, and governments to deliver exceptional digital experiences and device connectivity, with compelling economics. Our ONE network platform simplifies the management of Cambium Networks' wired and wireless technologies. Our product lines fall into three broad, interrelated categories: Fixed Wireless and fiber Broadband ("FWB"), Enterprise Networking, and Subscription and Services.</w:t>
      </w:r>
    </w:p>
    <w:p>
      <w:pPr>
        <w:spacing w:after="0" w:line="7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FWB portfolio spans point-to-point ("PTP") and point-to-multi-point ("PMP") architectures over multiple standards and frequency bands, including licensed, unlicensed, and lightly licensed spectrum, and fiber products that address commercial, government and defense applications. During 2025, we enhanced our broadband portfolio with both software and release of new subscriber modules.</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Enterprise portfolio includes a complete range of indoor and outdoor Wi-Fi 5, Wi-Fi 6 and Wi-Fi 7 access points, indoor and hardened 1GB/s and 2.5 GB/s copper and 10 GB/s optical based Ethernet switches, and security gateway and software-defined wide area network ("SD-WAN") devices. During 2025, we introduced new 2.5GHz switching solutions to complement our first Wi-Fi 7 access point.</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Subscription and Services portfolio includes network planning and design solutions, and cloud or on-premises network management and control solutions. The latter capability, delivered through subscription to cnMaestro™, forms the foundation of our ONE Network, a cloud-based network management architecture that allows users to remotely configure, monitor, and manage their wired and wireless networks. It provides a single, centralized view of all Cambium Network devices, and real-time performance and usage data, allowing users to control and optimize network configuration and settings. Advanced services offered in conjunction with this platform include application visibility and control, used to optimize end-user experiences; and "Assurance" which allows network administrators to rapidly troubleshoot network issues using AI-powered root cause analysis with proactive resolution, ensuring service level agreements are met and preventing client impact. The integrated security gateway and SD-WAN for small and medium businesses may also be associated with a subscription for network security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On April 10, 2025, we received a deficiency letter from The Nasdaq Stock Market LLC (“Nasdaq”) notifying us that, for the last 30 consecutive business days, the bid price for our ordinary shares closed below the $1.00 per share minimum bid price requirement for continued inclusion on The Nasdaq Global Select Market pursuant to Nasdaq Listing Rule 5450(a)(1) (the “Bid Price Requirement”).</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April 16, 2025, May 22, 2025, August 25, 2025 and November 25, 2025, we received additional deficiency letters from Nasdaq notifying us that we were not in compliance with the requirements of Nasdaq Listing Rule 5250(c)(1) (the “Filing Rule”) as a result of not having timely filed with the SEC our Form 10-K for the year ended December 31, 2024 and our Quarterly reports on Form 10-Q for the periods ended March 31, 2025, June 30, 2025 and September 30, 2025, respectively (the “Delinquent Filings”).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November 11, 2025, we presented our plan of compliance before the Nasdaq Hearings Panel (the “Hearings Panel”) and requested a continued stay of our delisting pending achieving full compliance by filing the Delinquent Filings within the time requested under the plan of compliance.</w:t>
      </w:r>
    </w:p>
    <w:p>
      <w:pPr>
        <w:spacing w:after="0" w:line="54"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On December 3, 2025, we received a decision from the Hearings Panel granting our request for continued listing of our ordinary shares on The Nasdaq Global Market, subject to us demonstrating compliance with the Minimum Bid Price Rule and the Filing Rule, on or before April 16, 2026.</w:t>
      </w:r>
    </w:p>
    <w:p>
      <w:pPr>
        <w:spacing w:after="0" w:line="3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December 12, 2025, we received a partial compliance letter from the Hearings Panel confirming we were in compliance with the Minimum Bid Price Rule, although we remained non-compliant with the Filing Rule. In addition, per Nasdaq Listing Rule 5815(d)(4)(B), we will be subject to a mandatory panel monitor until December 12, 2026. If, within that one-year monitoring period, Nasdaq finds that we are again out of compliance with the Minimum Bid Price Rule, Nasdaq will issue a delist determination letter at that time, leaving us with an opportunity to request a new hearing to address the delisting.</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January 9, 2026, we received a staff determination letter (the “Annual Meeting Determination Letter”) from Nasdaq stating that because we did not hold an annual meeting of shareholders within twelve months from our prior fiscal year end as required by Nasdaq Listing Rule 5620(a) (the “Annual Meeting Rule”), the resulting non-compliance serves as an additional basis for delisting our securities from The Nasdaq Global Market. The Annual Meeting Determination Letter notified us that the Hearings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 w:name="page8"/>
    <w:bookmarkEnd w:id="7"/>
    <w:p>
      <w:pPr>
        <w:ind w:right="240"/>
        <w:spacing w:after="0" w:line="282" w:lineRule="auto"/>
        <w:rPr>
          <w:sz w:val="20"/>
          <w:szCs w:val="20"/>
          <w:color w:val="auto"/>
        </w:rPr>
      </w:pPr>
      <w:r>
        <w:rPr>
          <w:rFonts w:ascii="Times New Roman" w:cs="Times New Roman" w:eastAsia="Times New Roman" w:hAnsi="Times New Roman"/>
          <w:sz w:val="18"/>
          <w:szCs w:val="18"/>
          <w:color w:val="auto"/>
        </w:rPr>
        <w:t>Panel would consider the matter in their decision regarding our continued listing on The Nasdaq Global Market, and requested that we present our views with respect to the additional deficiency in writing by January 16, 2026. We made a submission to the Hearings Panel by the requested date.</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2026, we received a decision from the Hearings Panel granting our request for continued listing of our ordinary shares on The Nasdaq Global Market, subject to our adherence to specific deadlines set forth in the decision to regain compliance with the Filing Rule and the Annual Meeting Rule.</w:t>
      </w:r>
    </w:p>
    <w:p>
      <w:pPr>
        <w:spacing w:after="0" w:line="68"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13, 2026 and March 22, 2026, we provided an update to the Hearings Panel noting that while we were on target to regain compliance by the overall deadline, we required additional time to meet the incremental deadlines set by the Hearings Panel.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19, 2026, we received a decision from the Hearings Panel granting our request for an extension.</w:t>
      </w:r>
    </w:p>
    <w:p>
      <w:pPr>
        <w:spacing w:after="0" w:line="117"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On March 25, 2026, we received a written notice (the “Delist Determination”) that the Hearings Panel had determined to delist our ordinary shares from Nasdaq due to our failure to comply with the terms of the Hearings Panel’s decision. Trading in our ordinary shares was suspended on Nasdaq at the open of trading on March 27, 2026 and began trading on the OTC Expert Market on March 30, 2026 under the symbol “CMBMF”. We have appealed the Delist Determination.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strategy is to enable our customers to build broadband and internet access networks that deliver exceptional digital experiences at an affordable total cost of ownership. The foundation of our strategy is the Cambium ONE Network, enabled by cnMaestro, which integrates and automates our entire portfolio. It removes complexity, making it easier to plan, deploy and operate a broadband network from core to edge, using a wide range of wireless technologies, standards, and radio frequency ("RF") spectrum.</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software and other tools enable network services that address a primary operating cost and constraint to growth faced by most network operators. Our approach is to simplify and automate the design, deployment, optimization, and management of broadband and Wi-Fi access networks through intelligent automation. For example, the policy-based automation feature on our cnMatrix switches enables the establishment of policies for each endpoint device type and then automatically propagates those policies across all switch ports in the network, regardless of the actual port each device is plugged into.</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Managing operating expenses, such as energy consumption, is increasingly important to network operators. Our solutions can aid in the reduction of energy consumption costs by requiring fewer devices to operate the network to achieve a given coverage and capacity. Our portfolio does not have the overhead required for mobile infrastructure that can contribute to energy consumption. For example, where primary electrical power is unreliable or unavailable, our purpose-built FWB products have been successfully deployed using only solar and battery power.</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our product development we strive to minimize capital outlays required by end users of our products. First, we innovate on top of industry standard technologies to optimize the performance per dollar invested in the network. Second, our software-defined radios, with their ease of remote configuration via cnMaestro, together with our commitment to backward compatibility, extends the life of our products, while also minimizing truck-rolls otherwise needed by the end user to configure and install new products.</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Increasingly, performance and cost are important metrics for most network operators. A key differentiation between network products and services providers for most network operators is the availability of integrated services layered on top of the network. We enable our end users to customize networks with bespoke or third-party services provided or enabled by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 new trends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Businesses and individuals both continue to expect seamless, secure communication and connectivity, whether from the conference room, the living room or even a recreational vehicle in a campground. The number of applications and devices on the network-from gaming, streaming media, and home automation to enterprise applications running in the cloud, as well as applications that enhance automation and security continue to increase on a global basis. Some applications need more bandwidth, other applications need lower latency.</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Businesses are leveraging IoT devices in digital transformation initiatives. Often, due to speed, cost, or convenience, wireless broadband is being chosen over fiber or CAT5 to economically connect security cameras. Simultaneously, networking technologies and standards continue to evolve, providing new capabilities and choice for network operators. The result is a network edge that has evolved from a static connection to a highly complex, constantly evolving platform supporting a growing array of services.</w:t>
      </w:r>
    </w:p>
    <w:p>
      <w:pPr>
        <w:spacing w:after="0" w:line="7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Our solutions embed technology that is designed to be cost-effective and deliver a high-quality digital experience connecting devices around the world. Our goal is to enable edge-of-the-network intelligence and the ability to adapt and respond to change. We are building and enabling a suite of services, deployed at scale with minimal human intervention, that will enable the network to be dynamic.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addressable markets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Today, fierce competition to provide high-quality broadband access in rural, suburban, and urban markets is driving down subscription prices while simultaneously driving up performance requirements. We expect to respond to growing trends such as the following:</w:t>
      </w:r>
    </w:p>
    <w:p>
      <w:pPr>
        <w:spacing w:after="0" w:line="52" w:lineRule="exact"/>
        <w:rPr>
          <w:sz w:val="20"/>
          <w:szCs w:val="20"/>
          <w:color w:val="auto"/>
        </w:rPr>
      </w:pPr>
    </w:p>
    <w:p>
      <w:pPr>
        <w:ind w:left="1020" w:hanging="503"/>
        <w:spacing w:after="0" w:line="26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implementation of broadband networks comprised of both fiber and wireless solutions</w:t>
      </w:r>
      <w:r>
        <w:rPr>
          <w:rFonts w:ascii="Times New Roman" w:cs="Times New Roman" w:eastAsia="Times New Roman" w:hAnsi="Times New Roman"/>
          <w:sz w:val="18"/>
          <w:szCs w:val="18"/>
          <w:color w:val="auto"/>
        </w:rPr>
        <w:t>. Wireless internet service providers ("WISPs")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adding fiber to their networks to compete with traditional wireline operators. The ongoing release of 6 GHz spectrum by governments worldwide gives broadband operators even more opportunities for cost-effective network expansion.</w:t>
      </w:r>
    </w:p>
    <w:p>
      <w:pPr>
        <w:spacing w:after="0" w:line="65"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FWB as an alternative to fiber</w:t>
      </w:r>
      <w:r>
        <w:rPr>
          <w:rFonts w:ascii="Times New Roman" w:cs="Times New Roman" w:eastAsia="Times New Roman" w:hAnsi="Times New Roman"/>
          <w:sz w:val="18"/>
          <w:szCs w:val="18"/>
          <w:color w:val="auto"/>
        </w:rPr>
        <w:t>. Our enterprise and state and local government customers are discovering that street-level high-speed FWB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taking advantage of buildings and streetlights rather than towers, is an economically compelling alternative to fiber, and enables accelerated time to service when outdoor connections are needed to backhaul Wi-Fi and/or security cameras. For example, the combination of FWB and Wi-Fi has been successfully deployed in city neighborhoods, national parks and campgrounds.</w:t>
      </w:r>
    </w:p>
    <w:p>
      <w:pPr>
        <w:spacing w:after="0" w:line="7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 of enterprise networking managed services</w:t>
      </w:r>
      <w:r>
        <w:rPr>
          <w:rFonts w:ascii="Times New Roman" w:cs="Times New Roman" w:eastAsia="Times New Roman" w:hAnsi="Times New Roman"/>
          <w:sz w:val="18"/>
          <w:szCs w:val="18"/>
          <w:color w:val="auto"/>
        </w:rPr>
        <w:t>. The market for enterprise networking managed services for hospitality and high density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living, such as apartment buildings and senior living, is expanding. Our solutions are designed to enable managed service providers to cost-effectively deploy and manage high value offerings for multiple hospitality or multi-family living property owners using the managed service provider ("MSP") dashboard within cnMaestro X. In 2024, we released several applications as part of our "MarketApps" software, which enables MSPs to onboard customers simply, without having to have access to cnMaestro directly. We continue to enhance and expand MarketApps to address specific markets and use cases.</w:t>
      </w:r>
    </w:p>
    <w:p>
      <w:pPr>
        <w:spacing w:after="0" w:line="74"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Applications for national defense and security initiatives</w:t>
      </w:r>
      <w:r>
        <w:rPr>
          <w:rFonts w:ascii="Times New Roman" w:cs="Times New Roman" w:eastAsia="Times New Roman" w:hAnsi="Times New Roman"/>
          <w:sz w:val="18"/>
          <w:szCs w:val="18"/>
          <w:color w:val="auto"/>
        </w:rPr>
        <w:t>. We are actively engaged with national defense connectivity initiatives, working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closely with systems integration partners. Although we have focused on high-capacity PTP FWB networking solutions, national government network operators have an equal need for the same FWB, Wi-Fi, switching, and value-added services as municipal, state, enterprise, and industrial network operators, although with added requirements for information assurance, security and other domain-specific attributes.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technology and products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ONE Network strategy takes advantage of advances in wireless standards, software defined radios and open application programming interfaces ("APIs") to enable the centralized management of a range of network technologies. Our products and services enable network operators to build a platform using heterogeneous wireless technologies without requiring a separate management platform for each one. Our intelligent automation improves operational performance and efficiency by optimizing the network at the application layer, enabling our products to enhance network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262890</wp:posOffset>
            </wp:positionV>
            <wp:extent cx="3343275" cy="3343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Point-to-Point ("PTP") fixed wireless backhaul</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PTP solutions are typically connected to high-speed, high-bandwidth fiber networks, and provide wireless broadband backhaul to a facility, a networked device, or to a PMP access point. Our PTP solutions can be deployed throughout a network over distances of more than 100 kilometers and provide speeds greater than 5 Gbps.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offer PTP solutions that operate in unlicensed spectrum from 220 MHz to 5.9 GHz and 57 GHz to 66 GHz, and in licensed spectrum from 6-38 GHz and 71-86 GHz. In addition, our PTP 700 operates in NATO Band IV from 4.4-5.9 GHz, as well as in the 7 GHz and 8 GHz bands, and meets stringent federal operating, performance, and security standards. The mainstay of our unlicensed backhaul offering is the PTP 670 for commercial applications and PTP 700 for defense and national security applications. In addition, our PTP 820 and 850 series offers carrier-grade microwave backhaul in licensed spectrum, and our PTP 550 offers price-performance leadership in spectral efficiency in sub-6 GHz unlicensed spectrum.</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dedicated point-to-point platforms, as technology has evolved, we have developed solutions that, while principally supporting point-to-multi-point architectures, also support point-to-point applications, including the 60 GHz cnWave V3000 and the ePMP Force 4525. Revenues from these products are included in the PMP product category in our revenues by product category reporting, as that is their primary application.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Point-to-Multi-point ("PMP") fixed wireless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PMP solutions extend wireless broadband access from tower-mounted FWB access points to customer premise equipment ("CPE"), providing broadband access to residences and enterprises covering wide areas with a range of 10 to 30 kilometers. Our PMP solutions are increasingly used to backhaul video surveillance systems and public Wi-Fi.</w:t>
      </w:r>
    </w:p>
    <w:p>
      <w:pPr>
        <w:spacing w:after="0" w:line="68"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Our PMP portfolio ranges from our PMP 450 series to our ePMP solutions for network operators that need to optimize for both price and performance, to our cnReach family of narrow-bandwidth connectivity products for industrial communications. The PMP 450 series is optimized for performance in high-density and demanding physical environments and includes the PMP 450m with</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18"/>
          <w:szCs w:val="18"/>
          <w:color w:val="auto"/>
        </w:rPr>
        <w:t>integrated cnMedusa massive multi-user multiple input/multiple output ("MU-MIMO"), technology. The PMP 450 product line also supports the FCC’s Citizen Broadband Radio Service, or CBRS. The FCC completed the auction of CBRS Priority Access Licenses, or PAL, in the third quarter of 2020, complementing the existing availability of General Authorized Access, or GAA, licenses. Network operators are adopting the PMP 450 solution to exercise both PAL and GAA licenses. In 2025, we enhanced software in our PMP 450v access points and subscriber modules to improve capacity interference capability.</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continue to enhance our next generation ePMP 4500 and 4600 product lines that provide an unequaled combination of performance and price. New software released in 2024 for both the ePMP 4500 and ePMP 4600 has increased the maximum throughput under loaded conditions among various improvements and introduced two new ePMP subscriber modules, the ePMP 4518 and ePMP 4616 covering both the 5GHz and 6GHz bands, respectively. These cost effective, lower gain units complement the prior released longer range units.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cnReach IoT solutions offer connectivity for distributed sensors and controls across industrial deployments, delivering real-time monitoring, measurement and analytics to optimize system performance. Our products can be deployed in a variety of industrial verticals such as oil and gas, electrical utilities, water management, rail and transportation operations and smart cities. cnReach focuses on SCADA systems for process control and monitoring, providing affordable, narrowband wireless connectivity, operating below 1 GHz, to support distribution automation, substation switches, circuit control and telemetry.</w:t>
      </w:r>
    </w:p>
    <w:p>
      <w:pPr>
        <w:spacing w:after="0" w:line="75"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Our 60 GHz solution, cnWave, enables Gbps networking in the 60 GHz band and a distributed architecture that enables scaled networks with dynamic routing for reliability and resiliency.</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28 GHz cnWave, which operates in the 3GPP n257 (26.50 – 29.50 GHz), n258 (24.25 – 27.50 GHz), and n261 (27.50 – 28.35 GHz) bands, incorporates both uplink and downlink MU-MIMO to optimize data rate to the CPE for residential and enterprise customers.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 solutions</w:t>
      </w:r>
    </w:p>
    <w:p>
      <w:pPr>
        <w:spacing w:after="0" w:line="11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Enterprise portfolio includes our cnMatrix switching solution, our portfolio of Wi-Fi 6/6E/7 access points, and our Network Service Edge ("NSE") platform, all of which are supported by cnMaestro, our cloud based management platform.</w:t>
      </w:r>
    </w:p>
    <w:p>
      <w:pPr>
        <w:spacing w:after="0" w:line="54"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enterprise-grade Wi-Fi 6/6E/7 solutions provide distributed access to individual users or devices in indoor settings, such as office complexes, and outdoor settings, such as private spaces and outdoor public Wi-Fi hotspots, over distances from two meters to one kilometer. Our Wi-Fi access point portfolio supports enterprise, government, education, small business and home applications and offers a range of Wi-Fi access points that enable network optimization based on desired geographic coverage and user density.</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continued to see strong demand for our Wi-Fi 6 and 6E access points, including leading products such as the XV2-22H indoor wall-mount access point used in hospitality and multi-dwelling units ("MDU"), and the XV2-21X ceiling-mount access point used universally in medium-density and low-density locations. We continue to promote and use our Wi-Fi 6E XE5-8 as our 5-radio high-density solution for convention centers and education facilities. We have outdoor APs that have both external antennas, such as the XE3-4TN, and integrated antennas such as the XV2-23T and XV2-2T, rounding out our Wi-Fi 6/6E commercial portfolio. We also promote our RV22, a Wi-Fi 6 home meshing access point that is cloud managed on cnMaestro and includes a rich app for subscriber management of access points and select services. In 2025, we introduced new 2.5GHz switching solutions to complement our Wi-Fi 7 access point. We expect to continue expanding our Wi-Fi 7 portfolio as the market upgrades to the newest standard.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15430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Cambium Networks ONE Network Summary</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460" w:type="dxa"/>
            <w:vAlign w:val="bottom"/>
            <w:tcBorders>
              <w:left w:val="single" w:sz="8" w:color="auto"/>
              <w:right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Network</w:t>
            </w:r>
          </w:p>
        </w:tc>
        <w:tc>
          <w:tcPr>
            <w:tcW w:w="140" w:type="dxa"/>
            <w:vAlign w:val="bottom"/>
            <w:tcBorders>
              <w:right w:val="single" w:sz="8" w:color="CFF0FC"/>
            </w:tcBorders>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4840" w:type="dxa"/>
            <w:vAlign w:val="bottom"/>
            <w:gridSpan w:val="5"/>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cnMaestro Essentials and X - Cloud-Based Management Software</w:t>
            </w:r>
          </w:p>
        </w:tc>
        <w:tc>
          <w:tcPr>
            <w:tcW w:w="1220" w:type="dxa"/>
            <w:vAlign w:val="bottom"/>
            <w:shd w:val="clear" w:color="auto" w:fill="CFF0FC"/>
          </w:tcPr>
          <w:p>
            <w:pPr>
              <w:spacing w:after="0"/>
              <w:rPr>
                <w:sz w:val="17"/>
                <w:szCs w:val="17"/>
                <w:color w:val="auto"/>
              </w:rPr>
            </w:pPr>
          </w:p>
        </w:tc>
        <w:tc>
          <w:tcPr>
            <w:tcW w:w="122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460" w:type="dxa"/>
            <w:vAlign w:val="bottom"/>
            <w:tcBorders>
              <w:left w:val="single" w:sz="8" w:color="auto"/>
              <w:bottom w:val="single" w:sz="8" w:color="CFF0FC"/>
              <w:right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Management</w:t>
            </w:r>
          </w:p>
        </w:tc>
        <w:tc>
          <w:tcPr>
            <w:tcW w:w="140" w:type="dxa"/>
            <w:vAlign w:val="bottom"/>
            <w:tcBorders>
              <w:bottom w:val="single" w:sz="8" w:color="auto"/>
              <w:right w:val="single" w:sz="8" w:color="CFF0FC"/>
            </w:tcBorders>
            <w:shd w:val="clear" w:color="auto" w:fill="CFF0FC"/>
          </w:tcPr>
          <w:p>
            <w:pPr>
              <w:spacing w:after="0"/>
              <w:rPr>
                <w:sz w:val="19"/>
                <w:szCs w:val="19"/>
                <w:color w:val="auto"/>
              </w:rPr>
            </w:pPr>
          </w:p>
        </w:tc>
        <w:tc>
          <w:tcPr>
            <w:tcW w:w="1140" w:type="dxa"/>
            <w:vAlign w:val="bottom"/>
            <w:tcBorders>
              <w:bottom w:val="single" w:sz="8" w:color="auto"/>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shd w:val="clear" w:color="auto" w:fill="CFF0FC"/>
          </w:tcPr>
          <w:p>
            <w:pPr>
              <w:spacing w:after="0"/>
              <w:rPr>
                <w:sz w:val="19"/>
                <w:szCs w:val="19"/>
                <w:color w:val="auto"/>
              </w:rPr>
            </w:pPr>
          </w:p>
        </w:tc>
        <w:tc>
          <w:tcPr>
            <w:tcW w:w="4840" w:type="dxa"/>
            <w:vAlign w:val="bottom"/>
            <w:tcBorders>
              <w:bottom w:val="single" w:sz="8" w:color="auto"/>
            </w:tcBorders>
            <w:gridSpan w:val="5"/>
            <w:vMerge w:val="continue"/>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right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60" w:type="dxa"/>
            <w:vAlign w:val="bottom"/>
            <w:tcBorders>
              <w:left w:val="single" w:sz="8" w:color="auto"/>
              <w:bottom w:val="single" w:sz="8" w:color="CFF0FC"/>
              <w:right w:val="single" w:sz="8" w:color="auto"/>
            </w:tcBorders>
            <w:shd w:val="clear" w:color="auto" w:fill="CFF0FC"/>
          </w:tcPr>
          <w:p>
            <w:pPr>
              <w:spacing w:after="0"/>
              <w:rPr>
                <w:sz w:val="18"/>
                <w:szCs w:val="18"/>
                <w:color w:val="auto"/>
              </w:rPr>
            </w:pPr>
          </w:p>
        </w:tc>
        <w:tc>
          <w:tcPr>
            <w:tcW w:w="140" w:type="dxa"/>
            <w:vAlign w:val="bottom"/>
            <w:tcBorders>
              <w:bottom w:val="single" w:sz="8" w:color="auto"/>
              <w:right w:val="single" w:sz="8" w:color="CFF0FC"/>
            </w:tcBorders>
            <w:shd w:val="clear" w:color="auto" w:fill="CFF0FC"/>
          </w:tcPr>
          <w:p>
            <w:pPr>
              <w:spacing w:after="0"/>
              <w:rPr>
                <w:sz w:val="18"/>
                <w:szCs w:val="18"/>
                <w:color w:val="auto"/>
              </w:rPr>
            </w:pPr>
          </w:p>
        </w:tc>
        <w:tc>
          <w:tcPr>
            <w:tcW w:w="2360" w:type="dxa"/>
            <w:vAlign w:val="bottom"/>
            <w:tcBorders>
              <w:bottom w:val="single" w:sz="8" w:color="auto"/>
              <w:right w:val="single" w:sz="8" w:color="CFF0FC"/>
            </w:tcBorders>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X Assurance</w:t>
            </w:r>
          </w:p>
        </w:tc>
        <w:tc>
          <w:tcPr>
            <w:tcW w:w="160" w:type="dxa"/>
            <w:vAlign w:val="bottom"/>
            <w:tcBorders>
              <w:bottom w:val="single" w:sz="8" w:color="auto"/>
              <w:right w:val="single" w:sz="8" w:color="CFF0FC"/>
            </w:tcBorders>
            <w:shd w:val="clear" w:color="auto" w:fill="CFF0FC"/>
          </w:tcPr>
          <w:p>
            <w:pPr>
              <w:spacing w:after="0"/>
              <w:rPr>
                <w:sz w:val="18"/>
                <w:szCs w:val="18"/>
                <w:color w:val="auto"/>
              </w:rPr>
            </w:pPr>
          </w:p>
        </w:tc>
        <w:tc>
          <w:tcPr>
            <w:tcW w:w="2300" w:type="dxa"/>
            <w:vAlign w:val="bottom"/>
            <w:tcBorders>
              <w:bottom w:val="single" w:sz="8" w:color="auto"/>
            </w:tcBorders>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EasyPass</w:t>
            </w:r>
          </w:p>
        </w:tc>
        <w:tc>
          <w:tcPr>
            <w:tcW w:w="2380" w:type="dxa"/>
            <w:vAlign w:val="bottom"/>
            <w:tcBorders>
              <w:bottom w:val="single" w:sz="8" w:color="auto"/>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Application Control</w:t>
            </w:r>
          </w:p>
        </w:tc>
        <w:tc>
          <w:tcPr>
            <w:tcW w:w="2440" w:type="dxa"/>
            <w:vAlign w:val="bottom"/>
            <w:tcBorders>
              <w:bottom w:val="single" w:sz="8" w:color="auto"/>
              <w:right w:val="single" w:sz="8" w:color="auto"/>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Market Apps</w:t>
            </w:r>
          </w:p>
        </w:tc>
        <w:tc>
          <w:tcPr>
            <w:tcW w:w="0" w:type="dxa"/>
            <w:vAlign w:val="bottom"/>
          </w:tcPr>
          <w:p>
            <w:pPr>
              <w:spacing w:after="0"/>
              <w:rPr>
                <w:sz w:val="1"/>
                <w:szCs w:val="1"/>
                <w:color w:val="auto"/>
              </w:rPr>
            </w:pPr>
          </w:p>
        </w:tc>
      </w:tr>
      <w:tr>
        <w:trPr>
          <w:trHeight w:val="209"/>
        </w:trPr>
        <w:tc>
          <w:tcPr>
            <w:tcW w:w="1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Network Services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8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color w:val="auto"/>
              </w:rPr>
              <w:t>QoE and NSE - Advanced Network and Security Services</w:t>
            </w:r>
          </w:p>
        </w:tc>
        <w:tc>
          <w:tcPr>
            <w:tcW w:w="12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Wired Platform</w:t>
            </w:r>
          </w:p>
        </w:tc>
        <w:tc>
          <w:tcPr>
            <w:tcW w:w="140" w:type="dxa"/>
            <w:vAlign w:val="bottom"/>
            <w:tcBorders>
              <w:right w:val="single" w:sz="8" w:color="CFF0FC"/>
            </w:tcBorders>
            <w:shd w:val="clear" w:color="auto" w:fill="CFF0FC"/>
          </w:tcPr>
          <w:p>
            <w:pPr>
              <w:spacing w:after="0"/>
              <w:rPr>
                <w:sz w:val="18"/>
                <w:szCs w:val="18"/>
                <w:color w:val="auto"/>
              </w:rPr>
            </w:pPr>
          </w:p>
        </w:tc>
        <w:tc>
          <w:tcPr>
            <w:tcW w:w="1140" w:type="dxa"/>
            <w:vAlign w:val="bottom"/>
            <w:tcBorders>
              <w:bottom w:val="single" w:sz="8" w:color="auto"/>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tcBorders>
              <w:bottom w:val="single" w:sz="8" w:color="auto"/>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4680" w:type="dxa"/>
            <w:vAlign w:val="bottom"/>
            <w:tcBorders>
              <w:bottom w:val="single" w:sz="8" w:color="auto"/>
            </w:tcBorders>
            <w:gridSpan w:val="4"/>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cnMatrix - Wireless Aware Switching</w:t>
            </w:r>
          </w:p>
        </w:tc>
        <w:tc>
          <w:tcPr>
            <w:tcW w:w="1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Product Platform</w:t>
            </w:r>
          </w:p>
        </w:tc>
        <w:tc>
          <w:tcPr>
            <w:tcW w:w="140" w:type="dxa"/>
            <w:vAlign w:val="bottom"/>
            <w:tcBorders>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Wi-Fi 6/6E/7</w:t>
            </w:r>
          </w:p>
        </w:tc>
        <w:tc>
          <w:tcPr>
            <w:tcW w:w="140" w:type="dxa"/>
            <w:vAlign w:val="bottom"/>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Fiber</w:t>
            </w:r>
          </w:p>
        </w:tc>
        <w:tc>
          <w:tcPr>
            <w:tcW w:w="1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Fixed Wireless</w:t>
            </w:r>
          </w:p>
        </w:tc>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PTP</w:t>
            </w: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PTP 820/850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550/670/700</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PMP 450</w:t>
            </w: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ePMP</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cnWave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cnReach</w:t>
            </w:r>
          </w:p>
        </w:tc>
        <w:tc>
          <w:tcPr>
            <w:tcW w:w="0" w:type="dxa"/>
            <w:vAlign w:val="bottom"/>
          </w:tcPr>
          <w:p>
            <w:pPr>
              <w:spacing w:after="0"/>
              <w:rPr>
                <w:sz w:val="1"/>
                <w:szCs w:val="1"/>
                <w:color w:val="auto"/>
              </w:rPr>
            </w:pPr>
          </w:p>
        </w:tc>
      </w:tr>
      <w:tr>
        <w:trPr>
          <w:trHeight w:val="198"/>
        </w:trPr>
        <w:tc>
          <w:tcPr>
            <w:tcW w:w="1460" w:type="dxa"/>
            <w:vAlign w:val="bottom"/>
            <w:tcBorders>
              <w:left w:val="single" w:sz="8" w:color="auto"/>
              <w:right w:val="single" w:sz="8" w:color="auto"/>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Software</w:t>
            </w:r>
          </w:p>
        </w:tc>
        <w:tc>
          <w:tcPr>
            <w:tcW w:w="14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2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Radios, Cloud</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Industry</w:t>
            </w:r>
          </w:p>
        </w:tc>
        <w:tc>
          <w:tcPr>
            <w:tcW w:w="96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Unparallele</w:t>
            </w:r>
          </w:p>
        </w:tc>
        <w:tc>
          <w:tcPr>
            <w:tcW w:w="14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Managed, High</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XGS PON</w:t>
            </w:r>
          </w:p>
        </w:tc>
        <w:tc>
          <w:tcPr>
            <w:tcW w:w="16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Leading Sub-6</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4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Price/</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Gb to the Edge</w:t>
            </w:r>
          </w:p>
        </w:tc>
        <w:tc>
          <w:tcPr>
            <w:tcW w:w="122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Converged</w:t>
            </w:r>
          </w:p>
        </w:tc>
        <w:tc>
          <w:tcPr>
            <w:tcW w:w="16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GHz and 7/8</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Scalability</w:t>
            </w:r>
          </w:p>
        </w:tc>
        <w:tc>
          <w:tcPr>
            <w:tcW w:w="142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Performance</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for Urban,</w:t>
            </w:r>
          </w:p>
        </w:tc>
        <w:tc>
          <w:tcPr>
            <w:tcW w:w="12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Licensed</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and Value Wi-</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Fiber and</w:t>
            </w:r>
          </w:p>
        </w:tc>
        <w:tc>
          <w:tcPr>
            <w:tcW w:w="16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Licensed</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GHz TDD</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42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PTP and</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high-density</w:t>
            </w:r>
          </w:p>
        </w:tc>
        <w:tc>
          <w:tcPr>
            <w:tcW w:w="12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Narrowband</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Fi Indoor and</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Wireless</w:t>
            </w:r>
          </w:p>
        </w:tc>
        <w:tc>
          <w:tcPr>
            <w:tcW w:w="16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9"/>
              </w:rPr>
              <w:t>Microwave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Backhaul</w:t>
            </w:r>
          </w:p>
        </w:tc>
        <w:tc>
          <w:tcPr>
            <w:tcW w:w="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Multipoint</w:t>
            </w:r>
          </w:p>
        </w:tc>
        <w:tc>
          <w:tcPr>
            <w:tcW w:w="142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PMP</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Suburban, and</w:t>
            </w:r>
          </w:p>
        </w:tc>
        <w:tc>
          <w:tcPr>
            <w:tcW w:w="12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in rugged I/O</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Design Focus</w:t>
            </w:r>
          </w:p>
        </w:tc>
        <w:tc>
          <w:tcPr>
            <w:tcW w:w="140" w:type="dxa"/>
            <w:vAlign w:val="bottom"/>
            <w:tcBorders>
              <w:right w:val="single" w:sz="8" w:color="CFF0FC"/>
            </w:tcBorders>
            <w:shd w:val="clear" w:color="auto" w:fill="CFF0FC"/>
          </w:tcPr>
          <w:p>
            <w:pPr>
              <w:spacing w:after="0"/>
              <w:rPr>
                <w:sz w:val="20"/>
                <w:szCs w:val="20"/>
                <w:color w:val="auto"/>
              </w:rPr>
            </w:pPr>
          </w:p>
        </w:tc>
        <w:tc>
          <w:tcPr>
            <w:tcW w:w="114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Outdoor</w:t>
            </w:r>
          </w:p>
        </w:tc>
        <w:tc>
          <w:tcPr>
            <w:tcW w:w="140" w:type="dxa"/>
            <w:vAlign w:val="bottom"/>
            <w:shd w:val="clear" w:color="auto" w:fill="CFF0FC"/>
          </w:tcPr>
          <w:p>
            <w:pPr>
              <w:spacing w:after="0"/>
              <w:rPr>
                <w:sz w:val="20"/>
                <w:szCs w:val="20"/>
                <w:color w:val="auto"/>
              </w:rPr>
            </w:pPr>
          </w:p>
        </w:tc>
        <w:tc>
          <w:tcPr>
            <w:tcW w:w="10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Networks</w:t>
            </w:r>
          </w:p>
        </w:tc>
        <w:tc>
          <w:tcPr>
            <w:tcW w:w="160" w:type="dxa"/>
            <w:vAlign w:val="bottom"/>
            <w:tcBorders>
              <w:right w:val="single" w:sz="8" w:color="CFF0FC"/>
            </w:tcBorders>
            <w:shd w:val="clear" w:color="auto" w:fill="CFF0FC"/>
          </w:tcPr>
          <w:p>
            <w:pPr>
              <w:spacing w:after="0"/>
              <w:rPr>
                <w:sz w:val="20"/>
                <w:szCs w:val="20"/>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Backhaul</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9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networks</w:t>
            </w:r>
          </w:p>
        </w:tc>
        <w:tc>
          <w:tcPr>
            <w:tcW w:w="1420" w:type="dxa"/>
            <w:vAlign w:val="bottom"/>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Leadership</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Rural markets</w:t>
            </w:r>
          </w:p>
        </w:tc>
        <w:tc>
          <w:tcPr>
            <w:tcW w:w="12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rich package</w:t>
            </w:r>
          </w:p>
        </w:tc>
        <w:tc>
          <w:tcPr>
            <w:tcW w:w="0" w:type="dxa"/>
            <w:vAlign w:val="bottom"/>
          </w:tcPr>
          <w:p>
            <w:pPr>
              <w:spacing w:after="0"/>
              <w:rPr>
                <w:sz w:val="1"/>
                <w:szCs w:val="1"/>
                <w:color w:val="auto"/>
              </w:rPr>
            </w:pPr>
          </w:p>
        </w:tc>
      </w:tr>
      <w:tr>
        <w:trPr>
          <w:trHeight w:val="198"/>
        </w:trPr>
        <w:tc>
          <w:tcPr>
            <w:tcW w:w="1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 Gbps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1.2</w:t>
            </w: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9.2</w:t>
            </w: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Symmetric</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450 - 1400</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Gbps/Secto</w:t>
            </w:r>
          </w:p>
        </w:tc>
        <w:tc>
          <w:tcPr>
            <w:tcW w:w="1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1.2 Gbps/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Gbps/DN</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Throughput</w:t>
            </w:r>
          </w:p>
        </w:tc>
        <w:tc>
          <w:tcPr>
            <w:tcW w:w="1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Gbps/AP</w:t>
            </w: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OLT</w:t>
            </w:r>
          </w:p>
        </w:tc>
        <w:tc>
          <w:tcPr>
            <w:tcW w:w="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Gbps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Mbps</w:t>
            </w:r>
          </w:p>
        </w:tc>
        <w:tc>
          <w:tcPr>
            <w:tcW w:w="9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r</w:t>
            </w:r>
          </w:p>
        </w:tc>
        <w:tc>
          <w:tcPr>
            <w:tcW w:w="14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Sector</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 Gbps/BTS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KB to MB</w:t>
            </w:r>
          </w:p>
        </w:tc>
        <w:tc>
          <w:tcPr>
            <w:tcW w:w="0" w:type="dxa"/>
            <w:vAlign w:val="bottom"/>
          </w:tcPr>
          <w:p>
            <w:pPr>
              <w:spacing w:after="0"/>
              <w:rPr>
                <w:sz w:val="1"/>
                <w:szCs w:val="1"/>
                <w:color w:val="auto"/>
              </w:rPr>
            </w:pPr>
          </w:p>
        </w:tc>
      </w:tr>
      <w:tr>
        <w:trPr>
          <w:trHeight w:val="198"/>
        </w:trPr>
        <w:tc>
          <w:tcPr>
            <w:tcW w:w="1460" w:type="dxa"/>
            <w:vAlign w:val="bottom"/>
            <w:tcBorders>
              <w:left w:val="single" w:sz="8" w:color="auto"/>
              <w:right w:val="single" w:sz="8" w:color="auto"/>
            </w:tcBorders>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Spectrum (GHz</w:t>
            </w:r>
          </w:p>
        </w:tc>
        <w:tc>
          <w:tcPr>
            <w:tcW w:w="140" w:type="dxa"/>
            <w:vAlign w:val="bottom"/>
            <w:tcBorders>
              <w:right w:val="single" w:sz="8" w:color="CFF0FC"/>
            </w:tcBorders>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4.400 - 5.925</w:t>
            </w:r>
          </w:p>
        </w:tc>
        <w:tc>
          <w:tcPr>
            <w:tcW w:w="9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6"/>
              </w:rPr>
              <w:t>2.4,</w:t>
            </w:r>
          </w:p>
        </w:tc>
        <w:tc>
          <w:tcPr>
            <w:tcW w:w="1220" w:type="dxa"/>
            <w:vAlign w:val="bottom"/>
            <w:shd w:val="clear" w:color="auto" w:fill="CFF0FC"/>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24.25 - 29.50</w:t>
            </w:r>
          </w:p>
        </w:tc>
        <w:tc>
          <w:tcPr>
            <w:tcW w:w="1220" w:type="dxa"/>
            <w:vAlign w:val="bottom"/>
            <w:tcBorders>
              <w:right w:val="single" w:sz="8" w:color="auto"/>
            </w:tcBorders>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220, 450, 700,</w:t>
            </w: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except as noted)</w:t>
            </w:r>
          </w:p>
        </w:tc>
        <w:tc>
          <w:tcPr>
            <w:tcW w:w="1280" w:type="dxa"/>
            <w:vAlign w:val="bottom"/>
            <w:tcBorders>
              <w:right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2.4, 5, 6</w:t>
            </w:r>
          </w:p>
        </w:tc>
        <w:tc>
          <w:tcPr>
            <w:tcW w:w="140" w:type="dxa"/>
            <w:vAlign w:val="bottom"/>
            <w:shd w:val="clear" w:color="auto" w:fill="CFF0FC"/>
          </w:tcPr>
          <w:p>
            <w:pPr>
              <w:spacing w:after="0"/>
              <w:rPr>
                <w:sz w:val="20"/>
                <w:szCs w:val="20"/>
                <w:color w:val="auto"/>
              </w:rPr>
            </w:pPr>
          </w:p>
        </w:tc>
        <w:tc>
          <w:tcPr>
            <w:tcW w:w="10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PON</w:t>
            </w:r>
          </w:p>
        </w:tc>
        <w:tc>
          <w:tcPr>
            <w:tcW w:w="12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6-38</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7.125 - 8.500</w:t>
            </w:r>
          </w:p>
        </w:tc>
        <w:tc>
          <w:tcPr>
            <w:tcW w:w="96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3,5,6</w:t>
            </w:r>
          </w:p>
        </w:tc>
        <w:tc>
          <w:tcPr>
            <w:tcW w:w="1420" w:type="dxa"/>
            <w:vAlign w:val="bottom"/>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5, 6.4</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57 - 66</w:t>
            </w:r>
          </w:p>
        </w:tc>
        <w:tc>
          <w:tcPr>
            <w:tcW w:w="12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900 MHz</w:t>
            </w:r>
          </w:p>
        </w:tc>
        <w:tc>
          <w:tcPr>
            <w:tcW w:w="0" w:type="dxa"/>
            <w:vAlign w:val="bottom"/>
          </w:tcPr>
          <w:p>
            <w:pPr>
              <w:spacing w:after="0"/>
              <w:rPr>
                <w:sz w:val="1"/>
                <w:szCs w:val="1"/>
                <w:color w:val="auto"/>
              </w:rPr>
            </w:pPr>
          </w:p>
        </w:tc>
      </w:tr>
      <w:tr>
        <w:trPr>
          <w:trHeight w:val="191"/>
        </w:trPr>
        <w:tc>
          <w:tcPr>
            <w:tcW w:w="1460" w:type="dxa"/>
            <w:vAlign w:val="bottom"/>
            <w:tcBorders>
              <w:top w:val="single" w:sz="8" w:color="CFF0FC"/>
              <w:left w:val="single" w:sz="8" w:color="auto"/>
              <w:right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Wi-Fi</w:t>
            </w:r>
          </w:p>
        </w:tc>
        <w:tc>
          <w:tcPr>
            <w:tcW w:w="140" w:type="dxa"/>
            <w:vAlign w:val="bottom"/>
            <w:tcBorders>
              <w:top w:val="single" w:sz="8" w:color="CFF0FC"/>
            </w:tcBorders>
          </w:tcPr>
          <w:p>
            <w:pPr>
              <w:spacing w:after="0"/>
              <w:rPr>
                <w:sz w:val="16"/>
                <w:szCs w:val="16"/>
                <w:color w:val="auto"/>
              </w:rPr>
            </w:pPr>
          </w:p>
        </w:tc>
        <w:tc>
          <w:tcPr>
            <w:tcW w:w="1080" w:type="dxa"/>
            <w:vAlign w:val="bottom"/>
            <w:tcBorders>
              <w:top w:val="single" w:sz="8" w:color="CFF0FC"/>
            </w:tcBorders>
          </w:tcPr>
          <w:p>
            <w:pPr>
              <w:spacing w:after="0"/>
              <w:rPr>
                <w:sz w:val="16"/>
                <w:szCs w:val="16"/>
                <w:color w:val="auto"/>
              </w:rPr>
            </w:pPr>
          </w:p>
        </w:tc>
        <w:tc>
          <w:tcPr>
            <w:tcW w:w="160" w:type="dxa"/>
            <w:vAlign w:val="bottom"/>
            <w:tcBorders>
              <w:top w:val="single" w:sz="8" w:color="CFF0FC"/>
              <w:right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LINK Planner</w:t>
            </w:r>
          </w:p>
        </w:tc>
        <w:tc>
          <w:tcPr>
            <w:tcW w:w="122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Design Services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Designer</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7"/>
              </w:rPr>
              <w:t>cnHeat</w:t>
            </w:r>
          </w:p>
        </w:tc>
        <w:tc>
          <w:tcPr>
            <w:tcW w:w="1220" w:type="dxa"/>
            <w:vAlign w:val="bottom"/>
            <w:tcBorders>
              <w:bottom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-2532380</wp:posOffset>
            </wp:positionV>
            <wp:extent cx="3429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-2532380</wp:posOffset>
            </wp:positionV>
            <wp:extent cx="3429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17970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Ethernet switches</w:t>
      </w:r>
    </w:p>
    <w:p>
      <w:pPr>
        <w:spacing w:after="0" w:line="11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cnMatrix Ethernet enterprise switching solutions simplify network deployment and operation. cnMatrix provides an intelligent interface between wireless and wired networks. cnMatrix’s policy-based automation ("PBA") accelerates network deployment, mitigates human error, increases security, and improves reliability. cnMatrix includes multiple varieties of copper-based edge switches and aggregation switches. When deployed with Cambium Networks Wi-Fi access points and the cnMaestro management system, network operators have an affordable, feature-rich, high-quality unified wired/wireless enterprise grade network. In 2025, as a complement to our Wi-Fi 7 portfolio, and to the EX-3024F Intelligent Ethernet Fiber Aggregation Switch, which offers zero-touch deployments, policy-based automation, auto device profiling and segmentation, and a non-blocking line-rate architecture with fully featured L2/L3 switching, we introduced a line of 2.5 GHz switches with software focused on </w:t>
      </w:r>
      <w:r>
        <w:rPr>
          <w:rFonts w:ascii="Times New Roman" w:cs="Times New Roman" w:eastAsia="Times New Roman" w:hAnsi="Times New Roman"/>
          <w:sz w:val="18"/>
          <w:szCs w:val="18"/>
          <w:color w:val="0A0A0A"/>
        </w:rPr>
        <w:t>AI-powered edge networking and automated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security.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Network management platform</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cloud-based cnMaestro and cnMaestro X network management platforms provide users with an integrated, intelligent, easy to use tool for end-to-end network management of our portfolio from the network operating center to be managed to the edge of the network by an individual CPE. cnMaestro’s interface allows users to easily onboard large numbers of new devices, configure existing devices, monitor the entire network and troubleshoot.</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continue to enhance our subscription services that complement and rely on cnMaestro. Network Service Edge ("NSE") delivers advanced security, network, and SD-WAN services for small and medium enterprise networks. It is integrated into Cambium’s ONE Network solution that enables organizations to deploy and manage security policies across the wireless and wired network, all fully managed and controlled as part of a single framework.</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Quality of Experience ("QoE") solution, provided by a third party, is hardware agnostic, operating across both wireless and fiber networks, and offers a range of services to network operators utilizing our networking solutions as well as third-party competitive offerings. The subscription-based solution includes granular application shaping, dynamic queue-based rate limiting,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20"/>
        <w:spacing w:after="0" w:line="256" w:lineRule="auto"/>
        <w:rPr>
          <w:sz w:val="20"/>
          <w:szCs w:val="20"/>
          <w:color w:val="auto"/>
        </w:rPr>
      </w:pPr>
      <w:r>
        <w:rPr>
          <w:rFonts w:ascii="Times New Roman" w:cs="Times New Roman" w:eastAsia="Times New Roman" w:hAnsi="Times New Roman"/>
          <w:sz w:val="18"/>
          <w:szCs w:val="18"/>
          <w:color w:val="auto"/>
        </w:rPr>
        <w:t>congestion management and application insights, which provides broadband service providers with immediate access to the information and controls to optimize end user experiences and be the service provider of choice. With cnMaestro X Assurance, a cloud-based insights engine continuously learns from data reported from cnMaestro-managed devices. AI/ML algorithms are used to identify and predict trending issues across customer sites and proactive alerts are generated. The platform monitors client experience scores and connectivity statistics over time, enabling forensic troubleshooting. With a simple graphical summary presentation, the solution accelerates issue resolution. The system is designed to execute historical issue resolution without any reason to duplicate issues or require packet captures.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network planning tools include cnHeat and LINKPlanner. cnHeat is a network planning subscription service that provides a heat map coverage model display of locations that are available for FWB connectivity that aids in network planning. cnHeat utilizes LiDAR or equivalent geospatial data to accurately model the geography being evaluated, coupled with highly accurate RF modeling, to render a visual and quantitative assessment of anticipated RF coverage and performance. cnHeat allows network operators to optimize site selection for coverage, supporting their total cost of ownership and return on investment. LINKPlanner is a comprehensive tool, developed over the past 12 years, used to plan PTP and PMP networks. LINKPlanner allows users to visualize and analyze hypothetical network deployment scenarios to evaluate performance and reliability allowing for cost-effective expansion and deployment of their networks. Cambium Networks Installer is a smartphone app that accelerates the installation and deployment of our fixed wireless products by field technicians.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sell our products primarily through a network of distributors who sell to other channel partners, including value-added resellers, system integrators, and end customers (end users), as well as through our direct sales force. End users include public or private network operators, including broadband and/or wireless LAN managed service providers; broadband internet service providers; mobile network operators; mid-market enterprises, such as education, hospitality, multi-dwelling units, and retail; state and local government; industrial, including energy, mining, rail operators and utilities; and military agencies. Channel partners may work directly with end users to identify their networking needs, and they may also provide installation, configuration, and ongoing support services. As of December 31, 2025, we had over 11,500 channel partners and approximately 145 distributors.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sales organization typically engages directly with Internet service providers and enterprise MSPs and certain enterprises even though product fulfillment generally is provided by our channel partners. We also engage in joint selling and marketing with our service provider, system integrator, and reseller channel partners to their customers’ end users. Our sales organization includes field and inside sales personnel, as well as regional technical managers with deep technical expertise who are responsible for pre-sales technical support. As of December 31, 2025, we had 103 sales personnel located in 20 countries.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distributors play a central role by promoting and distributing our products in target vertical markets, providing value-added support to the service providers and reseller channels by bringing core strengths in technical support and professional services. This is in addition to logistics, and sales and marketing support. Our distributors typically stock and manage inventory of our products.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typically work with channel partners through our Connected Partner program, which is a structured program designed to support and enable partners to sell and support our products. The program includes training and education, marketing support, technical support, and other resources such as product discounts, deal registration, demonstration equipment, virtual and in-person events, and promotions to help channel partners succeed in selling and supporting our products.</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marketing activities can be Cambium Networks-led as well as distributor or channel partner led. Our marketing activities are focused on building brand awareness and generating leads with our target market segments. In addition, we work with our distributors and other channel partners to enable joint marketing that targets enterprise end users. We leverage a broad mix of communications platforms, including website and social media presence, public relations, webinars, trade shows and private events.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support</w:t>
      </w:r>
    </w:p>
    <w:p>
      <w:pPr>
        <w:spacing w:after="0" w:line="11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provide multiple layers of support: technical support, information-sharing with an experienced community of users, software downloads, warranty services, and repair. We support our enterprise class solutions with a range of flexible service plans and optional 24/7 availability that provide assurance to network operators that their always-on, mission critical communications requirements will be met. With every product purchase, we provide technical support on a best-effort basis. Hardware issues are diagnosed via joint troubleshooting with the end user, and the issue will be addressed according to standard warranty status and the root cause of the issue. This may be sufficient for some customers who can largely manage and operate their network without assistance and hold adequate spares. For others, we provide three support programs staffed by our skilled technical support team and product support engineers to keep the network operating smoothly and efficiently and may provide 24x7x365 technical support and premium warranty support. We allow network operators to select the service level that best meets their needs. Our support organization both aids channel partners in supporting their direct customers and provides select technical support to our end users. Technical support is also available on-line via chat and automated ticketing systems.</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3" w:name="page14"/>
    <w:bookmarkEnd w:id="13"/>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dedicated to making advanced networking technology accessible and straightforward. We designed a custom ChatGPT AI agent, accessible from our web site, to help users effortlessly explore and understand our diverse range of solutions. Whether looking to optimize current setup, explore new products, or gain insights into best practices, this tool provides users with a high-level understanding to guide decisions.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provide a wide range of training and educational materials from comprehensive user guides and installation guides to self-directed interactive training, to in-person instructor-led immersion courses to ensure our end-users and channel partners are familiar with the design, implementation, usage, and management of our products. The training and certification system is administered through a learning management system that provides the user a record of course work, exam results, certifications and access to on-demand self-directed training resources that complement instructor-led sessions scheduled frequently around the world.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Cambium Community Forum</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Cambium Networks Community Forum is a platform for users of our solutions to connect with each other, ask questions, and share information and experiences. It is a place where users can find help and support, as well as the latest developments and features of Cambium Networks products. The forum is also a place where users can share their own tips and best practices for using our products, and where they can stay up to date with the latest news and updates from us.</w:t>
      </w:r>
    </w:p>
    <w:p>
      <w:pPr>
        <w:spacing w:after="0" w:line="72" w:lineRule="exact"/>
        <w:rPr>
          <w:sz w:val="20"/>
          <w:szCs w:val="20"/>
          <w:color w:val="auto"/>
        </w:rPr>
      </w:pPr>
    </w:p>
    <w:p>
      <w:pPr>
        <w:jc w:val="both"/>
        <w:ind w:right="400" w:firstLine="509"/>
        <w:spacing w:after="0" w:line="261" w:lineRule="auto"/>
        <w:rPr>
          <w:sz w:val="20"/>
          <w:szCs w:val="20"/>
          <w:color w:val="auto"/>
        </w:rPr>
      </w:pPr>
      <w:r>
        <w:rPr>
          <w:rFonts w:ascii="Times New Roman" w:cs="Times New Roman" w:eastAsia="Times New Roman" w:hAnsi="Times New Roman"/>
          <w:sz w:val="18"/>
          <w:szCs w:val="18"/>
          <w:color w:val="auto"/>
        </w:rPr>
        <w:t>Our Community Forum is moderated by our staff with direct and active engagement by our development engineering and product management personnel. Leveraging the Community Forum, we collect network operator and channel partner feedback on potential product improvements and new product ideas, including through the administration of beta testing on our products. As of December 31, 2025, there were approximately 58,000 active registered forum members on our Community Forum.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rely on third-party contract manufacturers and original design manufacturers for our manufacturing requirements. Our global sourcing strategy emphasizes the procurement of materials and product manufacturing in competitive geographies. For some of our products, we do substantially all of the hardware design work; for other products, we outsource both the hardware design (in whole or in part) and the manufacture of the product; and for several products we distribute and sell a product designed and manufactured by a third party under our name on a white label basis. We generally require that the manufacturing processes and procedures are certified to the International Organization for Standardization ("ISO") 9001 standards.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third-party manufacturers typically procure the components needed to build our products based on our demand forecasts. These forecasts represent our estimates of future demand for our products based on historical trends and analyses from our sales and product management functions and are adjusted for overall market conditions. Generally, for our primary third-party manufacturers, we update these forecasts monthly. This allows us to leverage the purchasing power of our third-party manufacturers. Although we provide demand forecasts to our third-party manufacturers, some of our third-party manufacturers may assess charges, or we may have liabilities for excess inventory, if we overestimate our demand. We may be liable to purchase excess products or aged materials from our suppliers following reasonable mitigation efforts, increasing our inventory costs. In addition, if we overestimate demand, we may need to increase future reserves on these commitments if we are not able to convert component inventory to finished goods and sell them to our customers.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products rely on key components, purchased from a limited number of suppliers, including certain sole source providers. Lead times for materials and components vary significantly, and depend on factors such as the specific supplier, complexity, contract terms, demand and availability of a component at a given time. From time to time, we may experience price volatility or supply constraints for certain components that are not available from multiple qualified sources or where our suppliers are geographically concentrated. We, like the rest of our industry, have in the past experienced shortages in semiconductors and other key components used for our hardware, which resulted in increased costs for components and shipping. To alleviate shortages, we purchased certain scarce components directly on the open market, and if we experience similar shortages in the future, we may need to take similar actions again. We may also acquire component inventory in anticipation of supply constraints and enter into longer-term pricing commitments with vendors to improve the priority, price and availability of supply. In periods of shortages, we have in the past and may in the future need to build inventory of select components.</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Cambium, like other companies, has been shifting wireless broadband and general electronic manufacturing from China to Vietnam and Thailand due to rising costs, U.S. and China trade tensions, and geopolitical risks. Throughout 2025, Cambium has been transitioning the manufacturing of some of its products from Mexico to Thailand. Moving manufacturing from one third-party manufacturer to a new third-party manufacturer in a different country risks quality issues, communication breakdowns, longer lead times, and supply chain disruptions, and Cambium has, during 2025, experienced some disruptions in its supply operations as a result, specifically related to the movement of materials and production to Thailand.</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We outsource the warehousing and delivery of our products to a third-party logistics provider for worldwide fulfillment. Our direct fulfillment facilities are in Louisville, Kentucky, Venlo, The Netherlands and Hanoi, Vietnam, from which we ship to our distributor partners and network operators.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products to date is due in large part to our focus on research and development. We believe that continued success in the marketplace relies on our ability to regularly bring to the market new and enhanced products employing leading-edge technology that provide value-added business solutions that are secure, easy to configure and maintain that address the needs of the market. Our research and development organization are located primarily in San Jose, California, Hoffman Estates, Illinois, Ashburton, United Kingdom and Bangalore, India. We also work with contract engineers in various locations globally. Our research and development team has deep expertise and experience in wireless technology, antenna design and network architecture and operation. We expect to continue to expand our product offerings and solutions capabilities in the future and to invest significantly in continued research and development efforts. As of December 31, 2025, our research and development organization consisted of 245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such as Internet service providers, vendors, individuals and entities that may be exploring a business relationship with us. In addition to these contractual arrangements, we also rely on a combination of trade secrets, patents, trademarks, service marks and domain names to protect our intellectual property.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seek patent protection for certain of our key innovations, protocols, processes and other inventions. As of April 30, 2026, we had 99 issued U.S. patents, and 175 patents issued in various foreign jurisdictions as well as 28 U.S. and 79 foreign patent applications pending. We file patent applications in the United States and other countries where we believe there to be a strategic technological or business reason to do so. Although we actively attempt to utilize patents to protect our technologies, we believe that none of our patents, individually, are material to our business. We cannot assure that any of our patent applications will result in the issuance of a patent or whether the examination process will result in patents of valuable breadth or applicability. In addition, any patents that may be issued may be contested, circumvented, found unenforceable or invalidated, and we may not be able to prevent third parties from infringing upon them.</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industry is characterized by a large number of filed patents that may be applicable to products in our industry, and frequent claims and related litigation regarding patent and other intellectual property rights has occurred, particularly regarding Wi-Fi technologies. As our company grows, it may be more likely that competitors or other third parties will claim that our products infringe their proprietary rights. In particular, large and established companies in our industry as well as other non-practicing entities have extensive patent portfolios and are regularly involved in both offensive and defensive litigation. From time to time, third parties, including certain of these large companies and other non-practicing entities, may assert patent, copyright, trademark and other intellectual property rights against us, our channel partners or our end customers.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markets for FWB and Enterprise Wi-Fi and switching solutions are highly competitive and subject to rapid technological change. We compete in a wide range of related categories, each with its own set of competitors worldwide that vary in size and in the products and solutions offered. We expect competition to persist, intensify and increase in the future. We review our competitive situation as follows:</w:t>
      </w:r>
    </w:p>
    <w:p>
      <w:pPr>
        <w:spacing w:after="0" w:line="68" w:lineRule="exact"/>
        <w:rPr>
          <w:sz w:val="20"/>
          <w:szCs w:val="20"/>
          <w:color w:val="auto"/>
        </w:rPr>
      </w:pPr>
    </w:p>
    <w:p>
      <w:pPr>
        <w:ind w:left="1020" w:right="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cnMaestro network management solution has the ability to manage both FWB edge networking devices (e.g., Wi-Fi, switching), and network security services, in a coordinated and centralized manner. In addition, its API enables operators to integrate specialized services on top of their Cambium Networks infrastructure. As networks become more diverse and complex, cnMaestro’s capability can increasingly become a competitive strength.</w:t>
      </w:r>
    </w:p>
    <w:p>
      <w:pPr>
        <w:spacing w:after="0" w:line="71"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for products and solutions for unlicensed wireless broadband in the sub-7 GHz spectrum bands include Ubiquiti, Tarana Wireless, Radisys/Mimosa Networks, Radwin, and HFCL Group. Competitors in the 3.5 GHz spectrum band, the Citizens Broadband Radio Service in FCC-governed markets, include Airspan Networks and Tarana Wireless, as well as Ericsson (Telefonaktiebolaget LM Ericsson), Nokia, and Baicells Technologies. Our cnWave 60 GHz mmWave point-to-point and point-to-multi-point products compete with Ubiquiti and Ceragon Networks.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left="1020" w:right="1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landscape for broadband services using licensed spectrum is different. Our competitors in the licensed point-to-point microwave market include Aviat Networks, Ceragon Networks, SIAE Microelettronica, and Nokia, among others. Our cnWave 5G fixed (28 GHz) products compete primarily with Intracom Telecom.</w:t>
      </w:r>
    </w:p>
    <w:p>
      <w:pPr>
        <w:spacing w:after="0" w:line="6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home Wi-Fi routers are offered to subscribers by our fixed wireless service provider customers. These devices compete with all consumer-grade, home Wi-Fi brands, as well as commercial solutions from companies such as Calix.</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cnReach narrowband fixed wireless IoT products and solutions compete principally with GE MDS and Freewave.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PON Solution competes with Nokia, Calix, Adtran and others. We offer a smaller-scale system geared towards more rural and campus environments.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 FWB network is highly dependent on accurately predicting the performance of each link before it is deployed. We offer a subscription to a cloud-based tool called cnHeat which leverages LiDAR data to build highly accurate link forecasts. The primary competitor to cnHeat is TowerCoverage.com.</w:t>
      </w:r>
    </w:p>
    <w:p>
      <w:pPr>
        <w:spacing w:after="0" w:line="6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enterprise network edge solutions, which include Wi-Fi, cnMatrix Ethernet switching, and Network Services Edge (NSE) products compete with a wide range of competitors, in some cases the competitor competing with two or more of our products. Ruckus Networks (CommScope), Ubiquiti, Cisco Meraki, Extreme Networks, HPE Aruba, Fortinet, Mist (Juniper Networks), TP-Link, Extreme Networks, and Ruiji Networks, are competitors to our Wi-Fi Access Point portfolio. Our cnMatrix Ethernet switch platform competes with Ubiquiti, MikroTik, Cisco, TP-Link, Extreme Networks, and HPE, among others. Our cnMaestro X network management solution competes with each competitive manufacturers’ management platform at a device-level, but also with system-level solutions developed in-house, or commercial solutions.</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our target markets continue to develop and expand, and as the technology for wireless broadband and enterprise networking continues to evolve, we expect competition to increase from both established and emerging market participants.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for our products and solutions is influenced by a variety of factors, including the following:</w:t>
      </w:r>
    </w:p>
    <w:p>
      <w:pPr>
        <w:spacing w:after="0" w:line="117" w:lineRule="exact"/>
        <w:rPr>
          <w:sz w:val="20"/>
          <w:szCs w:val="20"/>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return on investment associated with the solutions;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configuration, installation, and use of the solution;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 backward-compatible solution;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application across a range of use cases and frequencies;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functionality, and reliability;</w:t>
      </w:r>
    </w:p>
    <w:p>
      <w:pPr>
        <w:spacing w:after="0" w:line="117" w:lineRule="exact"/>
        <w:rPr>
          <w:rFonts w:ascii="Times New Roman" w:cs="Times New Roman" w:eastAsia="Times New Roman" w:hAnsi="Times New Roman"/>
          <w:sz w:val="18"/>
          <w:szCs w:val="18"/>
          <w:color w:val="auto"/>
        </w:rPr>
      </w:pPr>
    </w:p>
    <w:p>
      <w:pPr>
        <w:ind w:left="1540" w:right="740" w:hanging="514"/>
        <w:spacing w:after="0" w:line="282"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allow centralized management of the solutions to enable better network planning, including scalable provisioning, configuration, monitoring, and complete network visualization;</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enable operators to profitably compete on both price and service levels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quality, full-service pre- and post-sales product support.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we compete favorably on each of these factors.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requirements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to regulations of general application to global businesses, we are subject to a number of regulatory requirements specific to our industry, including, without limitation:</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Radio frequency usage</w:t>
      </w:r>
      <w:r>
        <w:rPr>
          <w:rFonts w:ascii="Times New Roman" w:cs="Times New Roman" w:eastAsia="Times New Roman" w:hAnsi="Times New Roman"/>
          <w:sz w:val="18"/>
          <w:szCs w:val="18"/>
          <w:color w:val="auto"/>
        </w:rPr>
        <w:t>. Because our products transmit energy in RF spectrum, our products are subject to:</w:t>
      </w:r>
    </w:p>
    <w:p>
      <w:pPr>
        <w:spacing w:after="0" w:line="117" w:lineRule="exact"/>
        <w:rPr>
          <w:rFonts w:ascii="Times New Roman" w:cs="Times New Roman" w:eastAsia="Times New Roman" w:hAnsi="Times New Roman"/>
          <w:sz w:val="18"/>
          <w:szCs w:val="18"/>
          <w:color w:val="auto"/>
        </w:rPr>
      </w:pPr>
    </w:p>
    <w:p>
      <w:pPr>
        <w:ind w:left="2040" w:right="160" w:hanging="505"/>
        <w:spacing w:after="0" w:line="266" w:lineRule="auto"/>
        <w:tabs>
          <w:tab w:leader="none" w:pos="2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relating to RF spectrum allocation and authorization of certain radio equipment issued by the Federal Communications Commission for non-federal uses or the National Telecommunications and Information Administration for federal uses in the United States; and</w:t>
      </w:r>
    </w:p>
    <w:p>
      <w:pPr>
        <w:spacing w:after="0" w:line="67" w:lineRule="exact"/>
        <w:rPr>
          <w:rFonts w:ascii="Times New Roman" w:cs="Times New Roman" w:eastAsia="Times New Roman" w:hAnsi="Times New Roman"/>
          <w:sz w:val="18"/>
          <w:szCs w:val="18"/>
          <w:color w:val="auto"/>
        </w:rPr>
      </w:pPr>
    </w:p>
    <w:p>
      <w:pPr>
        <w:ind w:left="2040" w:right="160" w:hanging="505"/>
        <w:spacing w:after="0" w:line="266" w:lineRule="auto"/>
        <w:tabs>
          <w:tab w:leader="none" w:pos="2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type approval, or homologation, rules requiring confirmation that our products meet minimum regulatory, technical and safety requirements prior to sale in various countries around the world, for example: European Technical Standards Institute ("ETSI"), Industry Canada ("IC") and Agencia National De Telecommunicatoes ("Anatel").</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applicable regulatory agencies in each jurisdiction adopt regulations to manage spectrum use, establish and enforce priorities among competing uses, limit harmful RF interference and promote policy goals such as broadband deployment. These spectrum regulations regulate allocation, licensing, and equipment authorizations. Since our customers purchase devices to operate in</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specific spectrum bands allocated by the regulatory authorities, our products must meet the technical requirements set forth for such spectrum allocation(s).</w:t>
      </w:r>
    </w:p>
    <w:p>
      <w:pPr>
        <w:spacing w:after="0" w:line="11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In some bands, the operator, such as our customer, must seek prior regulatory authority to operate using specified frequencies, and the resulting spectrum license authorizes the licensee, for a limited term, to operate in a spectrum consistent with licensed technical parameters within a specified geographic area. We must design and manufacture our products to comply with these technical parameters.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products generally are subject to compliance testing prior to approval, and, as a condition of authority in each jurisdiction, we must ensure that our products have the proper labels and documentation specifying such authority. We generally use telecommunications certification bodies to obtain certification for our devices in each jurisdiction in which we intend to market and sell our products.</w:t>
      </w:r>
    </w:p>
    <w:p>
      <w:pPr>
        <w:spacing w:after="0" w:line="68" w:lineRule="exact"/>
        <w:rPr>
          <w:sz w:val="20"/>
          <w:szCs w:val="20"/>
          <w:color w:val="auto"/>
        </w:rPr>
      </w:pPr>
    </w:p>
    <w:p>
      <w:pPr>
        <w:ind w:left="1020" w:right="14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Trade compliance requirements</w:t>
      </w:r>
      <w:r>
        <w:rPr>
          <w:rFonts w:ascii="Times New Roman" w:cs="Times New Roman" w:eastAsia="Times New Roman" w:hAnsi="Times New Roman"/>
          <w:sz w:val="17"/>
          <w:szCs w:val="17"/>
          <w:color w:val="auto"/>
        </w:rPr>
        <w:t>. We are subject to compliance with rules in jurisdictions from which we export or into which we import our products, including export control and reporting, import clearance, anti-bribery, antitrust and competition rules and regulations, including:</w:t>
      </w:r>
    </w:p>
    <w:p>
      <w:pPr>
        <w:spacing w:after="0" w:line="31" w:lineRule="exact"/>
        <w:rPr>
          <w:rFonts w:ascii="Times New Roman" w:cs="Times New Roman" w:eastAsia="Times New Roman" w:hAnsi="Times New Roman"/>
          <w:sz w:val="17"/>
          <w:szCs w:val="17"/>
          <w:color w:val="auto"/>
        </w:rPr>
      </w:pPr>
    </w:p>
    <w:p>
      <w:pPr>
        <w:ind w:left="1540" w:right="40" w:hanging="514"/>
        <w:spacing w:after="0" w:line="254"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issued by the United States, the European Union or other jurisdictions, including, for example, the U.S. Department of Commerce, the Office of Foreign Assets Control, the U.K. Foreign, Commonwealth &amp; Development Office, Ministry of Defense and Department of International Trade including rules banning sales to persons or entities on applicable designated parties lists, or to persons or entities in embargoed countries, rules requiring export licenses prior to sales of products incorporating encryption technology to certain end users, and local rules governing import of products, including packaging and labeling laws. In addition, some of our products include enabled encryption technology, which may require us to obtain a license prior to a sale to certain foreign agencies. These rules require us to monitor databases and establish and enforce policies to prohibit the sale of our products to embargoed or specially designated persons, entities and countries.</w:t>
      </w:r>
    </w:p>
    <w:p>
      <w:pPr>
        <w:spacing w:after="0" w:line="8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rules and policies of countries in which we import our products.</w:t>
      </w:r>
    </w:p>
    <w:p>
      <w:pPr>
        <w:spacing w:after="0" w:line="117" w:lineRule="exact"/>
        <w:rPr>
          <w:rFonts w:ascii="Times New Roman" w:cs="Times New Roman" w:eastAsia="Times New Roman" w:hAnsi="Times New Roman"/>
          <w:sz w:val="18"/>
          <w:szCs w:val="18"/>
          <w:color w:val="auto"/>
        </w:rPr>
      </w:pPr>
    </w:p>
    <w:p>
      <w:pPr>
        <w:ind w:left="1540" w:right="80" w:hanging="514"/>
        <w:spacing w:after="0" w:line="256"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particularly in the United States and the European Union, governing environmental matters that restrict the use of certain dangerous substances in electrical or electronic equipment, govern use of certain chemical substances throughout their lifecycle and Waste Electrical and Electronic Equipment, Directive 2012/2019/EU, related to the collection, treatment, recycling and recovery of waste electrical and electronic equipment in the European Union and related laws elsewhere. These rules govern our use of components in our products, requiring us to comply with environmental rules and regulations in our selection of component parts and in the manufacturing process, as well as over the disposal upon destruction or retirement of our products.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also subject to rules, regulations and laws that involve a variety of matters including privacy, data protection and personal information, tax, trade, encryption technology, environmental sustainability (including climate change), human rights, product certification, and national security. Rules governing our use of personal data, such as the General Data Protection Regulation in the European Union, the California Consumer Privacy Act, and other applicable regulations in the United States and around the world continue to evolve and increase, together with current and proposed e-privacy and direct marketing rules governing direct and email marketing. These rules govern how we use personal data of our employees, customers and others with whom we might do business, including in our marketing activities.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failure, or alleged failure, by us to comply with regulations or laws could have a material adverse effect on our business, operating results, or financial condition. For additional information about government regulation and laws applicable to our business, see “Item 1A. Risk Factors,” including the risk factor entitled “</w:t>
      </w:r>
      <w:r>
        <w:rPr>
          <w:rFonts w:ascii="Times New Roman" w:cs="Times New Roman" w:eastAsia="Times New Roman" w:hAnsi="Times New Roman"/>
          <w:sz w:val="18"/>
          <w:szCs w:val="18"/>
          <w:i w:val="1"/>
          <w:iCs w:val="1"/>
          <w:color w:val="auto"/>
        </w:rPr>
        <w:t>New regulations or standards or changes in existing regulations or standards in the United States or internationally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may result in unanticipated costs or liabilities, which could have a material adverse effect on our business, results of operations and future sales,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If we fail to comply with environmental requirements, our business, financial condition, operating results and reputation could be adversely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various environmental and other regulations governing product safety, materials usage, packaging and other environmental impacts in the United States and in various countries where our products are manufactured and sold. We are also subject to regulatory developments, including SEC disclosure regulations relating to "conflict minerals," relating to ethically responsible sourcing of the components and materials used in our products, as well as potential disclosures relating to environmental, social and governance issues (ESG). To date, compliance with federal, state, local, and foreign laws enacted for the protection of the environment has not had a material effect on our capital expenditures, earnings, or competitive position.</w:t>
      </w:r>
    </w:p>
    <w:p>
      <w:pPr>
        <w:spacing w:after="0" w:line="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maintain compliance with various regulations related to the environment, including the Waste Electrical and Electronic Equipment and the Restriction of the Use of Certain Hazardous Substances in Electrical and Electronic Equipment regulations adopted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600"/>
        <w:spacing w:after="0" w:line="282" w:lineRule="auto"/>
        <w:rPr>
          <w:sz w:val="20"/>
          <w:szCs w:val="20"/>
          <w:color w:val="auto"/>
        </w:rPr>
      </w:pPr>
      <w:r>
        <w:rPr>
          <w:rFonts w:ascii="Times New Roman" w:cs="Times New Roman" w:eastAsia="Times New Roman" w:hAnsi="Times New Roman"/>
          <w:sz w:val="18"/>
          <w:szCs w:val="18"/>
          <w:color w:val="auto"/>
        </w:rPr>
        <w:t>by the European Union. To date, our compliance efforts with various United States and foreign regulations related to the environment has not had a material effect on our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pride ourselves on developing and maintaining a strong reputation for innovation and integrity and conduct our business affairs honestly and in an ethical manner. We expect our corporate culture to embody trust and respect for individuals, teamwork and innovation; to be a place where employees are proud to work, and where customers, suppliers and partners want to work with us. We are guided by our core values of growth and profitability; outstanding global teamwork; relentless innovation and edge; making and meeting commitments; respecting and developing our people; and serving our community.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Equal employment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Cambium Networks, we seek to maintain an environment that is open and inclusive, and where our people feel valued, included and accountable. One of our key principles is respecting and developing our people. We are committed to maintaining the highest level of professional and ethical standards in the conduct of our business around the world. As of December 31, 2025, we had approximately 486 full-time employees located in 25 countries, of whom 341 employees are located outside of the United States. None of our U.S. employees are subject to a collective bargaining agreement. In certain foreign jurisdictions, where required by local law or customs, some of our employees are represented by local workers’ councils and/or industry collective bargaining agreements. We have not experienced any work stoppages, and we consider our relationship with our employees to be good. We have a broad base of diverse talent, and we believe that attracting, developing and retaining the best talent is critical to our success and achievement of our strategic objectives.</w:t>
      </w:r>
    </w:p>
    <w:p>
      <w:pPr>
        <w:spacing w:after="0" w:line="84" w:lineRule="exact"/>
        <w:rPr>
          <w:sz w:val="20"/>
          <w:szCs w:val="20"/>
          <w:color w:val="auto"/>
        </w:rPr>
      </w:pPr>
    </w:p>
    <w:p>
      <w:pPr>
        <w:ind w:right="700" w:firstLine="509"/>
        <w:spacing w:after="0" w:line="375" w:lineRule="auto"/>
        <w:rPr>
          <w:sz w:val="20"/>
          <w:szCs w:val="20"/>
          <w:color w:val="auto"/>
        </w:rPr>
      </w:pPr>
      <w:r>
        <w:rPr>
          <w:rFonts w:ascii="Times New Roman" w:cs="Times New Roman" w:eastAsia="Times New Roman" w:hAnsi="Times New Roman"/>
          <w:sz w:val="18"/>
          <w:szCs w:val="18"/>
          <w:color w:val="auto"/>
        </w:rPr>
        <w:t xml:space="preserve">Although we work in both remote and hybrid environments, we work collaboratively, without hierarchy, across geographies and functions. </w:t>
      </w:r>
      <w:r>
        <w:rPr>
          <w:rFonts w:ascii="Times New Roman" w:cs="Times New Roman" w:eastAsia="Times New Roman" w:hAnsi="Times New Roman"/>
          <w:sz w:val="18"/>
          <w:szCs w:val="18"/>
          <w:i w:val="1"/>
          <w:iCs w:val="1"/>
          <w:color w:val="auto"/>
        </w:rPr>
        <w:t>Compensation and benefits</w:t>
      </w:r>
    </w:p>
    <w:p>
      <w:pPr>
        <w:spacing w:after="0" w:line="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offer what we believe is a competitive compensation package, tailored to the job function and geography of each employee. Our team is global, and we offer competitive and meaningful compensation and benefits programs that meet the diverse needs of our employees, while also reflecting local market practices. Our U.S. benefits plan includes health benefits, life and disability insurance, various voluntary insurances, flexible time off and leave programs, an employee assistance plan, and a 401(k) plan with a competitive employer match. Our international benefits plans are competitive locally and generally provide similar benefits. We believe our compensation structure aligns with our shareholders’ long-term interests by balancing profitability and growth, as well as current market practices. Competition for qualified personnel in the technology space is intense, and our success depends in large part on our ability to recruit, develop and retain a productive and engaged workforce.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Cambium Networks was formed in 2011 as Vector Cambium Holdings (Cayman), Ltd., and changed its name to Cambium Networks Corporation in 2018. We conduct our business through Cambium Networks, Ltd., a company organized under the laws of England and Wales, and its wholly-owned subsidiaries. Cambium Networks Corporation holds no material assets other than Cambium Networks, Ltd. and its subsidiaries and does not engage in any business operations. Unless the context otherwise requires, we use "Cambium Networks" to refer to Cambium Networks Corporation and its subsidiaries throughout this Annual Report on Form 10-K. Our headquarters are located at Cambium Networks, Inc. at 2000 Center Drive, Suite A401, Hoffman Estates, Illinois 60192 and our telephone number is (888) 863-5250.</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Internet address is www.cambiumnetworks.com and our investor relations website is located at http://investors.cambiumnetworks.com. We make available free of charge on our investor relations website under the sub-heading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are subject to risks and uncertainties that could cause actual results to differ materially from those projected. These risks and uncertainties include, but are not limited to, the risk factors set forth below. These risks and uncertainties are not the only ones we face.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ind w:right="2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Our ordinary shares have been delisted from Nasdaq and there is no guarantee that our ordinary shares will be regularly traded on the over-the-counter markets.</w:t>
      </w:r>
    </w:p>
    <w:p>
      <w:pPr>
        <w:spacing w:after="0" w:line="160"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On March 27, 2026, Nasdaq suspended trading in our ordinary shares on the Nasdaq Global Market due to our failure to comply with the terms of the Hearing Panel’s decision issued on December 3, 2025 and subsequent decisions issued by the Hearing Panel on February 2, 2026 and March 19, 2026 pursuant to which we were granted extensions for continued listing subject to our adherence to certain milestones set forth in the decision to regain compliance with the Filing Rule and the Annual Meeting Rule. Following our request for an additional extension on March 23, 2026, the Hearings Panel issued the Delist Determination stating that our ordinary shares would be suspended at the open of trading on March 27, 2026. In its Delist Determination, Nasdaq confirmed that it intends to file Form 25 Notification of Delisting with the SEC after all applicable appeals periods have lapsed. Although we have appealed the Delist Determination, there is no assurance that we may be able to regain our Nasdaq listing.</w:t>
      </w:r>
    </w:p>
    <w:p>
      <w:pPr>
        <w:spacing w:after="0" w:line="8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ordinary shares are now traded on the OTC Expert Market tier. There is no guarantee that our ordinary shares will continue to be traded on the over-the-counter markets, and accordingly, our ordinary shares may become illiquid. In addition, as a result of delisting from the Nasdaq Global Market, we lost an active trading market for our ordinary shares, and the trading market for our ordinary shares on the OTC Expert Market is limited. We face significant material adverse consequences as a result of our ordinary shares not being listed on a national securities exchange, including one or more of the following:</w:t>
      </w:r>
    </w:p>
    <w:p>
      <w:pPr>
        <w:spacing w:after="0" w:line="75" w:lineRule="exact"/>
        <w:rPr>
          <w:sz w:val="20"/>
          <w:szCs w:val="20"/>
          <w:color w:val="auto"/>
        </w:rPr>
      </w:pPr>
    </w:p>
    <w:p>
      <w:pPr>
        <w:ind w:left="1120" w:hanging="363"/>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ordinary shares;</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reduced liquidity and efficiency of the trading market for our ordinary shares;</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ordinary shares may be unable to sell, and buyers may be unable to purchase, our ordinary shares when they wish to do so;</w:t>
      </w:r>
    </w:p>
    <w:p>
      <w:pPr>
        <w:spacing w:after="0" w:line="117" w:lineRule="exact"/>
        <w:rPr>
          <w:rFonts w:ascii="Times New Roman" w:cs="Times New Roman" w:eastAsia="Times New Roman" w:hAnsi="Times New Roman"/>
          <w:sz w:val="18"/>
          <w:szCs w:val="18"/>
          <w:color w:val="auto"/>
        </w:rPr>
      </w:pPr>
    </w:p>
    <w:p>
      <w:pPr>
        <w:jc w:val="both"/>
        <w:ind w:left="1140" w:right="120" w:hanging="383"/>
        <w:spacing w:after="0" w:line="312" w:lineRule="auto"/>
        <w:tabs>
          <w:tab w:leader="none" w:pos="112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ordinary shares are considered a “penny stock,” which requires brokers trading in our ordinary shares to adhere to more stringent rules and could possibly result in a reduced level of trading activity in the secondary trading market for our ordinary shares;</w:t>
      </w:r>
    </w:p>
    <w:p>
      <w:pPr>
        <w:spacing w:after="0" w:line="31" w:lineRule="exact"/>
        <w:rPr>
          <w:rFonts w:ascii="Times New Roman" w:cs="Times New Roman" w:eastAsia="Times New Roman" w:hAnsi="Times New Roman"/>
          <w:sz w:val="17"/>
          <w:szCs w:val="17"/>
          <w:color w:val="auto"/>
        </w:rPr>
      </w:pPr>
    </w:p>
    <w:p>
      <w:pPr>
        <w:ind w:left="1120" w:hanging="363"/>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or complete loss of media, news and analyst coverage; and</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1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Delisting also may reduce the number of investors willing to hold or acquire our ordinary shares and negatively impacts our ability to access equity markets and obtain financing. We believe this reduced liquidity and demand were contributing factors in the substantial decline in our share price after we announced the delisting, and that the failure to be listed will have a continuing material and adverse effect on the trading value of our shares unless and until our shares are listed.</w:t>
      </w:r>
    </w:p>
    <w:p>
      <w:pPr>
        <w:spacing w:after="0" w:line="7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our appeal of the Delisting Determination is not successful, we will seek to regain our listing via a new application, which will require us to meet the initial listing standards for the Nasdaq Capital Market. There are no assurances that we will be able to successfully satisfy the initial listing criteria or, if we are successful, to continue to meet the on-going listing requirements for the Nasdaq Capital Market. In particular, we may face heightened scrutiny from Nasdaq as a result of our history of being unable to meet Nasdaq’s listing requirements and having been a delinquent filer under the Exchange Act, which could delay a re-listing to the Nasdaq Capital Market or prevent us from achieving such a listing. In addition, we may decide it is not in our shareholders’ best interests to uplist our ordinary shares to the Nasdaq Capital Market once we are current with our SEC reporting requirements.</w:t>
      </w:r>
    </w:p>
    <w:p>
      <w:pPr>
        <w:spacing w:after="0" w:line="7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Moreover, since being delisted from the Nasdaq Global Market, we are no longer subject to certain rules and regulations of Nasdaq. As a result, an investment in our ordinary shares may be riskier than an investment in securities of a company that is listed on a national securities exchange due to the reduced protections such rules and regulations provide shareholders.</w:t>
      </w:r>
    </w:p>
    <w:p>
      <w:pPr>
        <w:spacing w:after="0" w:line="66"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Our operating results can be difficult to predict and may fluctuate significantly, which could result in a failure to meet investor expectations or our guidance and a decline in the trading price of our shares.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may fluctuate significantly in the future. In particular, the timing and size of our sales of our products are difficult to predict and can result in significant fluctuations in our revenues from period to period. For instance, we have historically received and fulfilled a substantial portion of sales orders and generated a substantial portion of revenues during the last few weeks of each quarter. In addition, we generally recognize all product revenues in the same period in which the related products are sold. Because our operating results are relatively fixed in the short term, any failure to meet expectations regarding sales could have an immediate and material effect on our earnings. If our revenues or operating results fall below the expectations of investors or securities analysts or below any estimates we may provide to the market, the trading price of our shares would likely decline, which could have a material and adverse impact on investor confidence and employee retention.</w:t>
      </w:r>
    </w:p>
    <w:p>
      <w:pPr>
        <w:spacing w:after="0" w:line="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operating results may fluctuate due to a variety of factors, many of which are outside of our control, and which we may not foresee. In addition to other risks listed in this “Risks Factors” section, factors that may affect our operating results include:</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 including seasonal variations;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fulfill orders for our products, which may be impacted by a number of factors, including the inability of our third-party manufacturers and suppliers to meet our demand, including as a result of component or part shortages or delays, difficulties in product manufacturing, yield or quantity, or logistical failures in warehousing and shipping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excess inventory held by our channel partners, including the impact on our excess and obsolescence reserves;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or other trade regulations or restrictions that may be imposed by the U.S. or other governments;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impairment of goodwill or indefinite-lived intangible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regain and maintain compliance with the financial covenants and other obligations under our secured Credit Agreement;</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introduce and ship in a timely manner new products and product enhancements, and to anticipate future market demands;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distributors and channel partners to effectively promote and sell our products or manage their inventory and fulfillment;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commitments to suppliers effectively;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release high-quality software and software upgrades;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manage technology transitions in relationship with supply chain requirements, which could result in lower revenue or excess inventory and a growth in our obsolete inventory;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manufacturing and component costs and operating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component shortages, logistic delays and cost increases in the manufacture or shipment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target markets, including new entrants, consolidation and pricing pressures;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complexity, length and associated unpredictability of the sales cycles for our products, including as a result of technology evolution;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made by us or our competitors of new or enhanced products, promotions, or changes in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product costs, prices or mix of products we sell;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 that could result in increases in product warranty costs and harm to our reputation and brand;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data breaches or malware that may disrupt our operations, harm our operating results and financial condition, and damage our reputation or otherwise materially harm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vulnerabilities and critical security defects, on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uncertainty or changes that may be applicable to or impact sales of our products and services;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crises or pandemics on our operations, the operations of our third-party manufacturers and suppliers and on our customers and end users;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or instability in our markets, including global recessions or inflation, wars or other political tensions;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0" w:name="page21"/>
    <w:bookmarkEnd w:id="20"/>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resulting from increases in component, production and logistics costs resulting from factors such as global inflationary pressures, shortages in supply or tariffs imposed by the U.S. or other countries on goods and services that are imported;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uncertainty of and tensions in international trade relations and tariffs, including the impact of tariffs adopted by the United States and reciprocal tariffs that may be imposed by other countries;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Wars among countries including between the Ukraine and Russia, increasing tensions between the United States and China, and increasing military activities and tensions between Iran and Israel, the Middle East, and the United States.</w:t>
      </w:r>
    </w:p>
    <w:p>
      <w:pPr>
        <w:spacing w:after="0" w:line="54"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effects of these or other factors individually or in combination could result in fluctuations and unpredictability in our operating results, our ability to forecast those results and the trading price of our shares. As a result, our past results should not be relied upon as an indication of our future performance.</w:t>
      </w:r>
    </w:p>
    <w:p>
      <w:pPr>
        <w:spacing w:after="0" w:line="17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Our cash requirements may require us to seek additional debt or equity financing and we may not be able to obtain such financing on favorable terms, or at all.</w:t>
      </w:r>
    </w:p>
    <w:p>
      <w:pPr>
        <w:spacing w:after="0" w:line="5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cash from operations may not be sufficient for our future working capital, investments and cash requirements, and we have no remaining liquidity for additional borrowings under our Credit Agreement. If our cash from operations is not sufficient for future working capital needs, we would need to seek additional debt or equity financing or scale back our operations. In addition, we may need to seek additional financing if our lender under our Credit Agreement does not continue to work with us as a result of our noncompliance with financial covenants under our Credit Agreement and accelerates the outstanding amounts due, causing the full outstanding balance under the Credit Agreement to become immediately due and payable. We may not be able to access additional capital resources or financing due to a variety of reasons, including the restrictive covenants in our Credit Agreement, the status of our financial condition, or the lack of available capital due to global economic conditions. If our financing requirements are not met and we are unable to access additional financing on favorable terms, or at all, our business, financial condition and results of operations could be materially adversely affected and we could cease as a going concern.</w:t>
      </w:r>
    </w:p>
    <w:p>
      <w:pPr>
        <w:spacing w:after="0" w:line="186"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We have several material weaknesses in our internal controls over financial reporting which have resulted in our failure to timely file our financial statements. If we fail to remediate these material weaknesses and maintain an effective system of internal controls, our ability to produce timely and accurate financial statements or comply with applicable regulations could continue to be impaired.</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and other rules and regulations of the SEC and the Sarbanes-Oxley Act, among others. The requirements of these rules and regulations have and will continue to increase our legal, accounting and financial compliance costs, make some activities more difficult, time-consuming and costly and place strain on our personnel, systems and resources. We were unable to timely file our Annual Report on Form 10-K for the years ended December 31, 2024 or 2025, or the quarterly reports due during 2025, and may in the future, be unable to timely file our quarterly or annual reports as they come due.</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over financial reporting. We have noted several material weaknesses in our internal controls over financial reporting and have not yet remediated most of these material weaknesses. We are continuing to develop and refine our disclosure controls, internal control over financial reporting and other procedures, including controls related to revenue and expense recognition, inventory reserves, accounts receivable, regulatory compliance issues affecting our financial results, litigation and settlements and other matters,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principal executive and financial officers.</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current controls have not been effective in preventing these material weaknesses and any new controls we develop may become inadequate because of growth in our business. Further, the weaknesses, including material weaknesses, in our internal controls that have been discovered in the past have not yet been fully remediated, and we have found additional control deficiencies and material weaknesses as of December 31, 2024 that continued during 2025. We may discover additional weaknesses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if we return to accelerated filer status. Ineffective disclosure controls and procedures and internal control over financial reporting could also cause investors to lose confidence in our reported financial and other information, which would likely have a negative effect on the market price of our shares.</w:t>
      </w:r>
    </w:p>
    <w:p>
      <w:pPr>
        <w:spacing w:after="0" w:line="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have expended and anticipate we will continue to expend significant resources, and we expect to provide significant management oversight, to maintain and improve the effectiveness of our disclosure controls and procedures and internal controls over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40"/>
        <w:spacing w:after="0" w:line="256" w:lineRule="auto"/>
        <w:rPr>
          <w:sz w:val="20"/>
          <w:szCs w:val="20"/>
          <w:color w:val="auto"/>
        </w:rPr>
      </w:pPr>
      <w:r>
        <w:rPr>
          <w:rFonts w:ascii="Times New Roman" w:cs="Times New Roman" w:eastAsia="Times New Roman" w:hAnsi="Times New Roman"/>
          <w:sz w:val="18"/>
          <w:szCs w:val="18"/>
          <w:color w:val="auto"/>
        </w:rPr>
        <w:t>financial reporting. Any future failure to maintain the adequacy of our internal controls, or consequent inability to produce accurate financial statements on a timely basis, could increase our operating costs and could materially impair our ability to operate our business. If our internal controls are perceived as inadequate or we are unable to produce timely or accurate financial statements, investors may lose confidence in our operating results and our share price could decline. For example, due to our failure to maintain compliance with rules of the SEC and The Nasdaq Stock Market, trading in our ordinary shares was suspended on March 27, 2026, and moved to the OTC Expert Market on March 30, 2026. The last reported sale price of our ordinary shares on the OTC Expert Market on April 20, 2026 was $0.19.</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Although management is required to report on our internal control over financial reporting, our independent registered public accounting firm is not required to formally attest to the effectiveness of our internal control over financial reporting until after we are no longer a smaller reporting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operating results and could cause a decline in the price of our shares.</w:t>
      </w:r>
    </w:p>
    <w:p>
      <w:pPr>
        <w:spacing w:after="0" w:line="18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Our credit facility contains restrictive financial covenants that limit our operating flexibility. Our continued failure to comply with all of these financial covenants has caused us to be in default, which could have an adverse effect on our business and prospects.</w:t>
      </w:r>
    </w:p>
    <w:p>
      <w:pPr>
        <w:spacing w:after="0" w:line="5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Credit Agreement with contains certain restrictive covenants that either limit our ability to, or require a mandatory prepayment in the event we, among other things, create or assume certain liens; create, incur or assume additional indebtedness, subject to specified permitted debt; make or hold certain investments, subject to certain exceptions; enter into certain mergers, liquidations, consolidations and other fundamental changes, subject to specified exceptions; make certain sales and other disposition of property or assets, including sale and leaseback transactions, subject to certain conditions and exceptions; make certain payments of dividends, share repurchase and other distributions, subject to certain exceptions; and enter into certain transactions with affiliates. We, therefore, may not be able to engage in any of the foregoing transactions unless we obtain the consent of our lender or prepay certain amounts under the Credit Agreement. The Credit Agreement also contains certain financial covenants and financial reporting requirements. We are currently not in compliance with certain of the financial or restrictive covenants of our Credit Agreement, including the requirement to timely file periodic reports with the Securities and Exchange Commission ("SEC"). Although we continue to work with the lender, we may be unable to regain compliance with covenants under the Credit Agreement. Our obligations under the Credit Agreement are secured by substantially all of our assets and amounts due under the Credit Agreement mature and become fully due and payable in November 2026. We may not be able to generate or sustain sufficient cash flow or sales to meet the financial covenants or pay the principal and interest under the Credit Agreement. If the lender accelerates amounts owing under the Credit Agreement because of our default, and we are unable to pay the accelerated amount due, the lender has the right to foreclose on substantially all of our assets. In the event of a liquidation, the lender would be repaid the outstanding principal and interest owed to it prior to distribution of assets to unsecured creditors, and the holders of our shares would receive a portion of any liquidation proceeds only if all of our creditors, including our secured lender, were first repaid in full. Furthermore, our future working capital, proceeds of borrowings or proceeds of equity financings could be required to be used to repay or refinance the amounts outstanding under the Credit Agreement and, therefore, may be unavailable for other purposes.</w:t>
      </w:r>
    </w:p>
    <w:p>
      <w:pPr>
        <w:spacing w:after="0" w:line="191"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We have been and continue to be unable to meet our financial covenants under our Credit Agreement, which creates doubt about our ability to continue as a going concern.</w:t>
      </w:r>
    </w:p>
    <w:p>
      <w:pPr>
        <w:spacing w:after="0" w:line="52"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compliance with financial covenants under our Credit Agreement. We are not in compliance with several of our financial covenants. There is uncertainty as to our ability to continue to meet the financial covenants in future periods. We continue to work with the lender to address our noncompliance with these covenants. If the bank is unwilling to come to an acceptable resolution of these non-payment defaults, Bank of America could declare the amounts outstanding thereunder immediately due and payable, and we may not be able to obtain a waiver of such a default or otherwise pay or refinance the indebtedness. Should we be unable to obtain a waiver or otherwise refinance our indebtedness, we may be unable to continue as a going concern.</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actively taking actions to improve our profitability and to work with the lender to resolve our defaults under the Credit Agreement. These actions include deferral of expenditures, and cost reductions to align our cost structure with current revenue levels. Any of these measures may have an adverse impact on our ability to execute our business plan, take advantage of future opportunities, fund research and development initiatives, or respond to competitive pressures or unanticipated financial requirements. The ultimate success of any such actions in sustaining our ability to continue as a going concern cannot be assured.</w:t>
      </w:r>
    </w:p>
    <w:p>
      <w:pPr>
        <w:spacing w:after="0" w:line="18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There is substantial doubt about our ability to continue as a going concern; accordingly, holders of our ordinary shares could suffer a total loss of their investment.</w:t>
      </w:r>
    </w:p>
    <w:p>
      <w:pPr>
        <w:spacing w:after="0" w:line="160"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18"/>
          <w:szCs w:val="18"/>
          <w:color w:val="auto"/>
        </w:rPr>
        <w:t>As a result of our continued noncompliance of covenants under our credit agreement, as well as a continued decline in our available cash, in the absence of additional sources of liquidity, there is substantial doubt about our ability to continue as a going concern. Although we continue to explore additional sources of liquidity, we are unable to determine at this time whether any of these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potential sources of liquidity will be available to us or if available, individually or taken together, will be sufficient to address our liquidity needs. Due to these factors, substantial doubt exists about our ability to continue as a going concern.</w:t>
      </w:r>
    </w:p>
    <w:p>
      <w:pPr>
        <w:jc w:val="both"/>
        <w:ind w:right="240" w:firstLine="45"/>
        <w:spacing w:after="0" w:line="255" w:lineRule="auto"/>
        <w:rPr>
          <w:sz w:val="20"/>
          <w:szCs w:val="20"/>
          <w:color w:val="auto"/>
        </w:rPr>
      </w:pPr>
      <w:r>
        <w:rPr>
          <w:rFonts w:ascii="Times New Roman" w:cs="Times New Roman" w:eastAsia="Times New Roman" w:hAnsi="Times New Roman"/>
          <w:sz w:val="18"/>
          <w:szCs w:val="18"/>
          <w:color w:val="auto"/>
        </w:rPr>
        <w:t>In the event we determine that additional sources of liquidity will not be available to us or will not allow us to meet our obligations as they become due, we may need to pursue a restructuring of our liabilities, and in the event of a future liquidation or bankruptcy proceeding, holders of our ordinary shares would likely suffer a total loss of their investment.</w:t>
      </w:r>
    </w:p>
    <w:p>
      <w:pPr>
        <w:spacing w:after="0" w:line="18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The introduction of new products and technology is key to our success, and if we fail to predict and respond to emerging technological trends and network operators’ changing needs, we may be unable to remain competitive.</w:t>
      </w:r>
    </w:p>
    <w:p>
      <w:pPr>
        <w:spacing w:after="0" w:line="5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wireless broadband market is generally characterized by rapidly evolving technology, changing needs of network operators, evolving regulations and industry standards and frequent introductions of new products and services. Historically, new product introductions have been a key driver of our revenue growth. To succeed, we must effectively anticipate and adapt in a timely manner to network operator requirements and changing standards and regulatory requirements and continue to develop or acquire new products and features that meet market demands, technology trends and evolving regulatory requirements and industry standards. Our new product development may also be driven by component shortages that may require us to redesign our products. Our ability to keep pace with technological developments, satisfy increasing network operator requirements, and achieve product acceptance depends upon our ability to enhance our current products and develop and introduce or otherwise acquire the rights to new products on a timely basis and at competitive prices. The process of developing new technology is complex and uncertain and can take time to develop as well as to perfect once released. The development of new products and enhancements typically requires significant upfront investment, which may not result in material improvements to existing products or result in marketable new products or cost savings or revenues. Network operators have delayed, and may in the future delay, purchases of our products while awaiting release of new products or product enhancements. In addition, the introduction of new or enhanced products requires that we carefully manage the transition from older products to minimize disruption in channel partner ordering practices and maintain compatibility between older and newer versions of our products. If we fail to anticipate industry trends and evolving regulations by developing or acquiring rights to new products or product enhancements and timely and effectively introducing such new products and enhancements, or network operators do not perceive our products to have compelling technological advantages, our business would be adversely affected.</w:t>
      </w:r>
    </w:p>
    <w:p>
      <w:pPr>
        <w:spacing w:after="0" w:line="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introduction of recent technologies, such as generative AI models, and the changes in regulations related to AI, cybersecurity, privacy, and data protection and our ability to effectively utilize or incorporate these technologies into our products may impact the success of our product development efforts. If the market for these new technologies does not develop as anticipated, or if we are unable to develop products incorporating new technologies, the potential demand for our products may decrease and our business, results of operation and prospects could be materially adversely affected.</w:t>
      </w:r>
    </w:p>
    <w:p>
      <w:pPr>
        <w:spacing w:after="0" w:line="178"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Enhanced United States tax, tariff, import/export restrictions, regulations or other trade barriers, including any such restrictions, regulations, or trade barriers adopted by other governments, may have a negative effect on global economic conditions, financial markets and our business.</w:t>
      </w:r>
    </w:p>
    <w:p>
      <w:pPr>
        <w:spacing w:after="0" w:line="52"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Because our products are manufactured outside of the U.S., the import of our products may be affected by changes in applicable tariffs. Our products are primarily manufactured in Taiwan, Vietnam, Philippines and Thailand, and we procure some of our products from China. The U.S. government has enacted, and then partially stayed, significantly increased tariffs on products imported from each of these jurisdictions and has imposed greatly increased tariffs on products imported from China. The governments of China, and other countries, have imposed reciprocal tariffs on the import of U.S. origin products imported into their countries. Significant uncertainty remains with respect to trade policies, treaties, tariffs and taxes. In February 2026, the U.S. Supreme Court ruled that tariffs imposed under the International Emergency Economic Power Act ("IEEPA") were not authorized by the statute. The U.S. government then imposed additional non-IEEPA global Section 122 tariffs. The U.S. government has and may continue to issue significant changes in U.S. trade policy and may take actions that could negatively impact U.S. trade, including communications equipment products and components manufactured and imported from other countries. In response, countries subject to increased tariffs by the U.S. have and may continue to retaliate by actions such as the adoption of various trade related measures including imposing tariffs on imports into such countries from the United States. Other governments may also adopt trade policies, treaties, tariffs or taxes that may adversely impact our products, or services, increasing our costs or adversely impacting our ability to trade within that country. An increase in trade-related costs associated with these imports may impair the profitability of our international production, may strain our suppliers' ability to source components necessary for the production of our products, and is likely to increase our manufacturing costs. We may not be able to pass on the full amount of these trade-related costs to our customers, which could impact our profitability or our competitive position. If we do pass along these costs, our customers may curtail the purchase of our products, which could adversely impact our future sales.</w:t>
      </w:r>
    </w:p>
    <w:p>
      <w:pPr>
        <w:spacing w:after="0" w:line="87"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The U.S. government has also enacted controls restricting the ability to send certain products and technology related to semiconductors, semiconductor manufacturing, and supercomputing to China without an export license. These controls also apply to certain hardware containing these specified integrated circuits. Other foreign governments may in turn impose similar or more restrictive controls. The U.S. government continue to add additional entities, to restricted party lists impacting the ability of U.S. companies to provide items to these entities. These controls or any additional restrictions may impact our ability to export certain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products, prohibit us from selling our products to certain of our customers or restrict our ability to use certain Integrated Circuits ("ICs") in our products.</w:t>
      </w:r>
    </w:p>
    <w:p>
      <w:pPr>
        <w:spacing w:after="0" w:line="117"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what actions may ultimately be taken with respect to trade relations between the United States and other countries, what products may be subject to such actions or what actions may be taken by the other countries in retaliation. If we are unable to obtain or use components for inclusion in our products, if component prices increase significantly or if we are unable to export or sell our products to any of our customers, our business, liquidity, financial condition, and/or results of operations would be materially and adversely affected.</w:t>
      </w:r>
    </w:p>
    <w:p>
      <w:pPr>
        <w:spacing w:after="0" w:line="72"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If tariffs, trade restrictions, or trade barriers remain in place or if new tariffs, trade restrictions, or trade barriers are placed on products such as ours by U.S. or foreign governments, our costs may increase. We believe we can adjust our supply chain and manufacturing practices to minimize the impact of the tariffs and any impact on the supply chain of components, but our efforts may not be successful, there can be no assurance that we will not experience a disruption in our business related to these or other changes in trade practices and the process of changing suppliers in order to mitigate any such tariff costs could be complicated, time-consuming, and costly.</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tariffs may also cause customers to delay orders as they evaluate where to take delivery of our products in connection with their efforts to mitigate their own tariff exposure. Such delays create forecasting difficulties for us and increase the risk that orders might be canceled or might never be placed. Current or future tariffs may also negatively impact our customers' sales, thereby causing an indirect negative impact on our own sales. Even in the absence of further tariffs, the related uncertainty and the market's fear of an escalating trade war might cause our distributors and customers to place fewer orders for our products, which could have a material adverse effect on our business, liquidity, financial condition, and/or results of operations.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relatively fluid regulatory environment globally and uncertainty how the U.S. government or foreign governments will act with respect to tariffs, international trade agreements and policies, a trade war, further governmental action related to tariffs or international trade policies, or additional tax or other regulatory changes in the future could directly and adversely impact our financial results and results of operations. We cannot predict what actions may ultimately be taken with respect to trade relations between the U.S. and China or other countries, what products may be subject to such actions or what actions may be taken by the other countries in retaliation. If we are unable to obtain or use components for inclusion in our products, if component prices increase significantly, or if we are unable to sell our products to any of our customers, our business, liquidity, financial conditions or results of operations would be materially and adversely affected.</w:t>
      </w:r>
    </w:p>
    <w:p>
      <w:pPr>
        <w:spacing w:after="0" w:line="18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Adverse economic conditions, continuing uncertain economic conditions or reduced information technology and network infrastructure spending may adversely affect our business, financial condition, results of operations and prospects.</w:t>
      </w:r>
    </w:p>
    <w:p>
      <w:pPr>
        <w:spacing w:after="0" w:line="5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business depends on the overall demand for wireless network technology and on the economic health and general willingness of our current and prospective end-customers to make those capital commitments necessary to purchase our products. Weak domestic or global economic conditions and continuing economic uncertainty, fear or anticipation of such conditions, inflation, a recession, international trade disputes, political tensions, global pandemics, or a reduction in information technology and network infrastructure spending, have from time to time contributed, and may continue to contribute, to slowdowns in the markets in which we compete. As a result, we could experience reduced demand for our products as a result of constraints in capital spending, longer sales cycles, increased price competition for our products including lower sales prices, risk of excess and obsolete inventories, risk of supply constraints, and higher overhead costs as a percentage of revenue, which could adversely affect our business, financial condition, results of operations and prospects. If the conditions in the U.S. and global economies deteriorate, become uncertain or volatile, if inflationary pressures continue, our business, operating results and financial condition may be materially adversely affected. In particular, we cannot be assured of the level of spending on wireless network technology, the deterioration of which would have a material adverse effect on our results of operations and growth rates. The purchase of our products or willingness to replace existing infrastructure is discretionary and highly dependent on a perception of continued rapid growth in consumer usage of mobile devices and in many cases involves a significant commitment of capital and other resources. Therefore, weak economic conditions or a reduction in capital spending would likely adversely impact our business, operating results and financial condition. In addition, if interest rates rise or foreign exchange rates weaken for our international customers, overall demand for our products and services could decline and related capital spending may be reduced. Furthermore, any increase in worldwide commodity prices may result in higher component prices for us and increased shipping costs, both of which may negatively impact our financial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Terrorism, war, and other events may harm our business, operating results and financial condition.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continued threat of terrorism and heightened security and military action in response thereto, or any other current or future acts of terrorism, war (such as the on-going Russia-Ukraine war, and tensions in the Middle East including Iran, Israel and Syria), and other events such as economic sanctions and trade restrictions may cause further disruptions to the economies of the United States and other countries and create further uncertainties or could otherwise negatively impact our business, operating results, and financial condition. The Russia-Ukraine conflict, the ongoing conflict between Israel, Palestine and other areas of the Middle East, war in Iran and surrounding countries, as well as other areas of geopolitical tension around the world, or the worsening of these conflicts or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right="500"/>
        <w:spacing w:after="0" w:line="282" w:lineRule="auto"/>
        <w:rPr>
          <w:sz w:val="20"/>
          <w:szCs w:val="20"/>
          <w:color w:val="auto"/>
        </w:rPr>
      </w:pPr>
      <w:r>
        <w:rPr>
          <w:rFonts w:ascii="Times New Roman" w:cs="Times New Roman" w:eastAsia="Times New Roman" w:hAnsi="Times New Roman"/>
          <w:sz w:val="18"/>
          <w:szCs w:val="18"/>
          <w:color w:val="auto"/>
        </w:rPr>
        <w:t>tensions, may materially adversely affect our customers, vendors, and partners. The duration and extent to which these factors may impact our future business and operations, results of operations, financial condition, and cash flows remain uncertain.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pressures may harm our business, revenues, growth rates and market share.</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markets for our products, including FWB and Enterprise solutions, are highly competitive and subject to rapid technological change. We compete in a wide range of related categories, each with its set of competitors worldwide that vary in size and in the products and solutions offered. We expect competition to persist, intensify and increase in the future.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all our markets, we compete with a number of wireless equipment providers worldwide that vary in size and in the products and solutions offered.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competitors in our markets include the following:</w:t>
      </w:r>
    </w:p>
    <w:p>
      <w:pPr>
        <w:spacing w:after="0" w:line="99" w:lineRule="exact"/>
        <w:rPr>
          <w:sz w:val="20"/>
          <w:szCs w:val="20"/>
          <w:color w:val="auto"/>
        </w:rPr>
      </w:pPr>
    </w:p>
    <w:p>
      <w:pPr>
        <w:ind w:left="1020" w:right="16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for products and solutions for unlicensed wireless broadband in the sub-7GHz spectrum bands include Ubiquiti, Tarana Wireless, Mimosa Networks, Radwin and HFCL Group. Competitors in the 3.5 GHz spectrum band, the Citizens Broadband Radio Service in FCC-governed markets, include Airspan Networks, but also Ericsson (Telefonaktiebolaget LM Ericsson), Nokia and Baicells Technologies. Our cnWave 60 GHz mmWave point-to-point and point-to-multi-point products compete with Ubiquiti and Ceragon Networks.</w:t>
      </w:r>
    </w:p>
    <w:p>
      <w:pPr>
        <w:spacing w:after="0" w:line="75"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in the licensed point-to-point microwave market include Aviat Networks, Ceragon Networks, SIAE Microelettronica, NEC, Nokia, among others. Our cnWave 5G fixed (28 GHz) products compete primarily with Intracom.</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home Wi-Fi routers are offered to subscribers by our fixed wireless service provider customers. These devices compete with all consumer-grade, home Wi-Fi brands.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PON Solution competes with Nokia, Calix, Adtran and others. We offer a smaller scale system geared towards more rural and campus environments.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cnReach narrowband fixed wireless IoT products and solutions compete principally with GE MDS and FreeWave Technologies.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enterprise network edge solutions, which include Wi-Fi, cnMatrix Ethernet switching, and NSE products compete with a wide range of competitors, in some cases the competitor competing with two or more of our products. Ruckus (CommScope), Ubiquiti, Cisco Meraki, Extreme Networks, HPE Aruba, Fortinet, Mist (Juniper Networks), and Ruijie NetworksS, are competitors to our Wi-Fi Access Point portfolio. Our cnMatrix wireless aware Ethernet switch platform competes with Ubiquiti, Ruckus, MikroTik, Cisco, and HPE, among others. Our cnMaestro X network management solution competes with each competitive manufacturers’ management platform at a device-level, but also with system-level solutions developed in-house, or commercial solutions.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our target markets continue to develop and expand, and as the technology for wireless broadband continues to evolve, we expect competition to increase.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Demand for our solutions versus those of our competitors is influenced by a variety of factors, including the following:</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performance, features and functionality,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and breadth of the sales channel;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intelligence into the product including the introduction of generative artificial intelligence tools or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return on investment associated with the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configuration, installation and use of the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 complete compatible and scalable solution;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application across a range of use cases;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allow centralized management of the products and network to better enable network planning, including scalable provisioning, configuration, monitoring and complete network visualization;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quality and scale of pre- and post-sales product support.</w:t>
      </w:r>
    </w:p>
    <w:p>
      <w:pPr>
        <w:spacing w:after="0" w:line="11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expect increased competition from our current competitors, as well as from new companies that may enter our markets. Several industries are now competing for end customers in traditional fixed wireless access markets, including Low Earth Orbit satellites, fiber operators, and mobile network operators providing fixed wireless. This is putting pressure on our traditional WISPs,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ind w:right="180"/>
        <w:spacing w:after="0" w:line="256" w:lineRule="auto"/>
        <w:rPr>
          <w:sz w:val="20"/>
          <w:szCs w:val="20"/>
          <w:color w:val="auto"/>
        </w:rPr>
      </w:pPr>
      <w:r>
        <w:rPr>
          <w:rFonts w:ascii="Times New Roman" w:cs="Times New Roman" w:eastAsia="Times New Roman" w:hAnsi="Times New Roman"/>
          <w:sz w:val="18"/>
          <w:szCs w:val="18"/>
          <w:color w:val="auto"/>
        </w:rPr>
        <w:t>who may respond by diverting capital spend to other areas, which may impact our business. Further, we have in the past and may again experience price competition from lower cost vendors selling to network operators that have lower budget or less demanding applications than our products have been designed to serve. We also expect that even higher cost competitors may engage in price competition to establish greater market share, which may adversely affect our ability to grow our revenues and profitability. Competition could result in loss of market share, increased pricing pressure, reduced profit margins, or increased sales and marketing expense, any of which would likely cause serious harm to our business, operating results or financial condition.</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number of our current or potential competitors have longer operating histories, greater name recognition, significantly larger customer bases and sales channels and significantly greater financial, technical, sales, marketing and other resources than we do. Our competitors may be able to anticipate, influence or adapt more quickly to new or emerging technologies and changes in network operator requirements, devote greater resources to the promotion and sale of their products and services, initiate or withstand substantial price competition, bundle similar products to compete, take advantage of acquisitions or other opportunities more readily, and develop and expand their product and service offerings more quickly than we can.</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have been acquired or entered into partnerships or other strategic relationships and offer a more comprehensive solution than they had previously offered. We expect this trend to continue. The companies resulting from such consolidation may create more compelling products and be able to offer greater pricing flexibility, making it more difficult for us to compete effectively. In addition, continued industry consolidation might adversely affect network operators’ perceptions of the viability of smaller and even medium-sized wireless broadband equipment providers and, consequently, their willingness to purchase from those companies.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Competitive pressures may also result from our inability to manufacture products meeting country of origin or country of manufacture requirements increasingly imposed by countries or end users. We may be unable to meet these location of manufacture requirements, which may adversely impact our ability to compete with other competitors who can. The success of new products depends on several factors, including appropriate new product definition, component costs, timely completion and introduction of products, differentiation of new products from those of our competitors and market acceptance of these products. We may not be able to successfully anticipate or adapt to changing technology on a timely basis, or at all.</w:t>
      </w:r>
    </w:p>
    <w:p>
      <w:pPr>
        <w:spacing w:after="0" w:line="18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If our distributors do not effectively manage inventory of our products, fail to timely resell our products or overestimate expected future demand, they may reduce purchases in future periods, causing our revenues and operating results to fluctuate or decline.</w:t>
      </w:r>
    </w:p>
    <w:p>
      <w:pPr>
        <w:spacing w:after="0" w:line="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distributors purchase and maintain inventories of our products to meet future demand and have only limited rights to return the products they have purchased from us. Our channel partners are not generally committed to volume purchases of our products in any period, although some of our products carry minimum order quantities. Accordingly, if, as we have recently experienced, our channel partners purchase more product than is required to meet demand in a particular period, causing their inventory levels to grow, they may delay or reduce additional future purchases, causing a reduction in expected future revenues, our quarterly results to fluctuate, and adversely impacting our ability to accurately predict future earnings.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gross margin varies from period to period, is difficult to predict and may decline in the future.</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gross margin varies from period to period, may be difficult to predict and may decline in future periods. Variations in our gross margin are generally driven by shifts in the mix of products we sell, the timing and related cost of fulfilling orders and other factors, including actions taken to reduce channel inventory or speed product delivery such as increased discounts. In addition, the market for wireless broadband solutions is characterized by rapid innovation and declining average sale prices as products mature in the marketplace. The sales prices and associated gross margin for our products may decline due to change in sales strategy, competitive pricing pressures, demand, promotional discounts and seasonal changes in demand. Larger competitors with more diverse product and service offerings may reduce the price of products or services that compete with ours or may bundle them with other products and services. If we meet such price reductions but do not similarly reduce our product manufacturing costs, our margins would decline. Any decline in our gross margins could have an adverse impact on our results of operations and the trading price of our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effectively forecast demand or manage our inventory, we may be required to record write-downs for excess or obsolete inventory.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maintain limited inventory of finished goods and, to a lesser extent, raw materials and forecast demand from our third-party manufacturers in amounts that we believe are sufficient to allow timely fulfillment of sales, subject to the impact of supply shortages. Growth in our sales and new product launches may require us to build inventory in the future. Higher levels of inventory expose us to a greater risk of carrying excess or obsolete inventory, which may in turn lead to write-downs. We may also record write-downs in connection with the end-of-life for specific products. Our distributors may increase levels of inventory to meet supply shortages or expected demand; if demand decreases in future periods, we may end up with excess channel inventory, leading to reductions in future period orders from our distributors. We endeavor to obtain information on inventory levels and sales data from our distributors. This information has been generally difficult to obtain in a timely manner, and we cannot always be certain that the information is reliable.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6" w:name="page27"/>
    <w:bookmarkEnd w:id="26"/>
    <w:p>
      <w:pPr>
        <w:ind w:right="80"/>
        <w:spacing w:after="0" w:line="258" w:lineRule="auto"/>
        <w:rPr>
          <w:sz w:val="20"/>
          <w:szCs w:val="20"/>
          <w:color w:val="auto"/>
        </w:rPr>
      </w:pPr>
      <w:r>
        <w:rPr>
          <w:rFonts w:ascii="Times New Roman" w:cs="Times New Roman" w:eastAsia="Times New Roman" w:hAnsi="Times New Roman"/>
          <w:sz w:val="18"/>
          <w:szCs w:val="18"/>
          <w:color w:val="auto"/>
        </w:rPr>
        <w:t>If we over forecast demand, we may build excess inventory, incur increased costs to our suppliers for excess demand, and we may not be able to decrease our expenses in time to offset any shortfall in revenues, which could harm our ability to achieve or sustain expected results of operations and could lead to increased excess and obsolescence reserves, such as we recently experienced. If we under forecast demand, our ability to fulfill sales orders will be compromised and sales to distributors may be deferred or lost altogether, which may impair our distributor relationships, would reduce our revenues and could harm our ability to achieve or sustain expected results of operations.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Decisions to increase or maintain higher inventory levels are typically based upon uncertain forecasts or other assumptions. Because the markets in which we compete are volatile, competitive and subject to rapid technology and price changes, if the assumptions on which we base these decisions turn out to be incorrect, our financial performance could suffer and we have in the past and could in the future be required to write-off the value of excess products or components inventory. In addition, in order to manage manufacturing lead times and help ensure adequate component supply, we enter into agreements with contract manufacturers and suppliers that allow them to procure inventory based upon criteria as defined by us, such as forecasted demand. We may be liable to purchase excess products or aged material from our suppliers following reasonable mitigation efforts, resulting in an adverse impact on our cash flows, operating expenses, results of operation and financial condition. We have, over the last several years, worked to manage our inventory closely, resulting in a reduction in finished goods inventory, raw materials and supplier commitment, but also required additional capital to cover and manage past liabilities. If we are unable to manage our inventory or commitments to suppliers in the future, we could be required to record additional charges, which would adversely affect our operating results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third-party manufacturers, which subjects us to risks of product delivery delays and reduced control over product costs and quality.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outsource the manufacturing of our products to third-party manufacturers pursuant to which the third parties manufacture and supply our products subject to orders from us often based on our demand forecasts. Our agreements do not typically obligate our third-party manufacturers to supply products to us in specific quantities or for an extended term, which could result in short notice to us of supply shortages and increases in the prices we are charged for manufacturing services. Our reliance on third-party manufacturers reduces our control over the manufacturing process, including reduced control over quality, product costs and product supply and timing. From time to time, we have experienced and may in the future experience delays in shipments or issues concerning product quality from our third-party manufacturers. For example, during 2025, as a result of a change of a third-party manufacturer for some of our products, we experienced delays in full commencement of production at the new location, as well as product quality problems, resulting in our inability to meet all orders for our product and a reduction in revenue over the period. We expect to continue to experience these supply shortages into 2026. If any of our third-party manufacturers suffer interruptions, delays or disruptions in supplying our products, including by natural disasters or work stoppages or capacity constraints, our ability to ship products to distributors and network operators would be delayed. Additionally, if any of our third-party manufacturers experience quality control problems in their manufacturing operations and our products do not meet network operators’ requirements, we could be required to cover cost of the repair or replacement of any defective products. These delays or product quality issues could have an immediate and material adverse effect on our ability to fulfill orders and could have a negative impact on our operating results. In addition, such delays or issues with product quality could harm our reputation and our relationship with our channel partners.</w:t>
      </w:r>
    </w:p>
    <w:p>
      <w:pPr>
        <w:spacing w:after="0" w:line="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Because lead times for required materials and components vary significantly and depend on factors such as the specific supplier, contract terms and the demand for each component at a given time, if we underestimate our requirements, our third-party manufacturer may have inadequate materials and components required to produce our products. This could result in an interruption of the manufacture of our products, delays in shipments and deferral or loss of revenues. If foundries experience capacity shortages they may respond by allocating existing supply among their customers, including us. Memory, in particular, is becoming challenging in light of capacity being used for AI. While current limitations are around DDR4 (used in some of our newer products), this is likely to spread to DDR3 memory and much of our product lines. Previous capacity shortages coupled with an increase in demand for affected products, due in part to a global increase in demand for bandwidth, resulted in supply shortages that caused increased lead times for some of our products. If our third-party manufacturers experience financial, operational, manufacturing capacity or other difficulties, or if they are otherwise unable or unwilling to continue to manufacture our products in required volumes or at all, our supply may be disrupted, we may be required to seek alternate manufacturers and we may be required to re-design our products. It would be time-consuming and costly, and could be impracticable, to begin to use new manufacturers and designs and such changes could cause significant interruptions in supply and could have an adverse impact on our ability to meet our scheduled product deliveries and may subsequently lead to the loss of sales, delayed revenues or an increase in our costs, which could materially and adversely affect our business and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outsource manufacturing to third-party manufacturers operating outside of the U.S., subjecting us to risks of international operations.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third-party manufacturers predominantly operate outside of the U.S. causing us to face risks to our business based on changes in tariffs, trade barriers, export regulations, political conditions and contractual restrictions, such as recently announced tariffs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7" w:name="page28"/>
    <w:bookmarkEnd w:id="27"/>
    <w:p>
      <w:pPr>
        <w:ind w:right="100"/>
        <w:spacing w:after="0" w:line="255" w:lineRule="auto"/>
        <w:rPr>
          <w:sz w:val="20"/>
          <w:szCs w:val="20"/>
          <w:color w:val="auto"/>
        </w:rPr>
      </w:pPr>
      <w:r>
        <w:rPr>
          <w:rFonts w:ascii="Times New Roman" w:cs="Times New Roman" w:eastAsia="Times New Roman" w:hAnsi="Times New Roman"/>
          <w:sz w:val="18"/>
          <w:szCs w:val="18"/>
          <w:color w:val="auto"/>
        </w:rPr>
        <w:t>by the U.S. government and reciprocal tariffs announced by other governments, particularly tariffs on goods imported from China, Taiwan, Vietnam or Thailand. Products that we have manufactured for us in countries outside of the US may also be subject to any uncertainty of trade relations between such countries and the United States or other shipping destinations. Such uncertainties could cause the cost of our products to rise or result in our inability to continue to manufacture in such country, resulting in a need to find alternative sources of manufacture, such as our recent move from manufacturing in China and Mexico to Vietnam and Thailand. Any change in manufacturer has in the past and could continue to result in the delay in the manufacture and supply of our products, increase our cost of manufacture, and cause a delay in our shipments to customers and a delay or cancellation of orders. Our future operating results and financial condition could be materially affected to the extent any of these actions occur.</w:t>
      </w:r>
    </w:p>
    <w:p>
      <w:pPr>
        <w:spacing w:after="0" w:line="187"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We require third-party components, including components from limited or sole source suppliers, to build our products. The unavailability of these components could substantially disrupt our ability to manufacture our products and fulfill sales orders.</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third-party components to build our products, and we generally rely on our third-party manufacturers to obtain the components necessary for the manufacture of our products. We use our forecast of expected demand to determine our material requirements. Lead times for materials and components we order vary significantly, and depend on factors such as the specific supplier, contract terms and demand for a component at a given time. If forecasts exceed orders, we may have excess and/or obsolete inventory, which could have a material adverse effect on our business, operating results and financial condition. If orders exceed forecasts, or available supply, we may have inadequate supplies of certain materials and components, which could have a material adverse effect on our ability to meet customer delivery requirements and to recognize revenue. If we underestimate our requirements or our third-party suppliers are not able to timely deliver components, our third-party manufacturers may have inadequate materials and components required to produce our products. This could result in an interruption in the manufacture of our products, delays in shipments and fulfillment of customer orders, and deferral or loss of revenues. Our third-party manufacturers may not be able to secure sufficient components at reasonable prices or of acceptable quality to build our products in a timely manner, adversely impacting our ability to meet demand for our products. In addition, if our component suppliers cease manufacturing needed components, we could be required to redesign our products to incorporate components from alternative sources or designs, a process which could cause significant delays in the manufacture and delivery of our products. Unpredictable price increases for such components may also occur. The unavailability of these components could substantially disrupt our ability to manufacture our products and fulfill sales orders.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we currently depend on a limited number of suppliers for several critical components for our products, and in some instances we use sole or single source suppliers for components to simplify design and fulfillment logistics. Neither we nor our third-party manufacturers carry a substantial inventory of our product components. Many of these components are also widely used in other product types or by other companies. Shortages are possible and our ability to predict the availability of such components may be limited. In the event of a shortage or supply interruption from our component suppliers, we or our third-party manufacturers may not be able to develop alternate or second sources in a timely manner, on commercially reasonable terms or at all, and the development of alternate sources may be time-consuming, difficult and costly. Any resulting failure or delay in shipping products could result in lost revenues and a material and adverse effect on our operating results. If we are unable to pass component price increases along to our end customers or maintain stable pricing, our gross margins could be adversely affected and our business, financial condition, results of operations and prospects could suffer.</w:t>
      </w:r>
    </w:p>
    <w:p>
      <w:pPr>
        <w:spacing w:after="0" w:line="186"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We may face increased costs or other logistics challenges in the shipment of our products, which may increase the cost of revenues or result in a delay in shipments to customers.</w:t>
      </w:r>
    </w:p>
    <w:p>
      <w:pPr>
        <w:spacing w:after="0" w:line="5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Logistics challenges may impact our operations, for example, as a result of container shortages which may impact availability of containers, and increased carriage costs, resulting in increases in relevant freight costs, all at a time when global demand may increase. Ports may experience increasing lead times with delays in the container freight market due to port delays, worker shortages or the impact of any global pandemic. These logistics and freight challenges and increasing costs could have a material adverse effect on our ability to meet customer delivery requirements, result in increased costs and adversely affect our business, financial condition, results of operations and prospects.</w:t>
      </w:r>
    </w:p>
    <w:p>
      <w:pPr>
        <w:spacing w:after="0" w:line="18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Our third-party logistics and warehousing provider may fail to deliver products to our channel partners and network operators in a timely manner, which could harm our reputation and operating results.</w:t>
      </w:r>
    </w:p>
    <w:p>
      <w:pPr>
        <w:spacing w:after="0" w:line="5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rely on our third-party logistics and warehousing provider, with distribution hubs including in the United States, the Netherlands and Vietnam, to fulfill the majority of our worldwide sales and deliver our products on a timely basis. Any change in the location of our distribution hubs, and any delay in delivery of our products to distributors or network operators could create dissatisfaction, harm our reputation, result in the loss of future sales and, in some cases, subject us to penalties. A change in the location of our distribution centers may result in delays in our ability to ship products to customers from such newly established distribution centers or adversely impact our ability to meet import or export requirements. We rely on our third-party logistics and warehousing provider to accurately segregate and record our inventory for us and to report to us the receipt and shipments of our products. Our third-party logistics and warehousing provider also manages and tracks the delivery of our products from the warehouse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line="258" w:lineRule="auto"/>
        <w:rPr>
          <w:sz w:val="20"/>
          <w:szCs w:val="20"/>
          <w:color w:val="auto"/>
        </w:rPr>
      </w:pPr>
      <w:r>
        <w:rPr>
          <w:rFonts w:ascii="Times New Roman" w:cs="Times New Roman" w:eastAsia="Times New Roman" w:hAnsi="Times New Roman"/>
          <w:sz w:val="18"/>
          <w:szCs w:val="18"/>
          <w:color w:val="auto"/>
        </w:rPr>
        <w:t>and safeguards our inventory, which accounts for a vast majority of our inventory balance. The failure of our third-party logistics and warehousing provider to perform these key tasks sufficiently, or any disruption to its business as a result of restrictions imposed as a result of health crises, natural disasters, work stoppages, cyber-attacks or other business disruptions, could disrupt their operations and therefore the shipment of our products to channel partners or end users or cause errors in our recorded inventory or in our customs or other regulatory documentation, any of which could adversely affect our business and operating results.</w:t>
      </w:r>
    </w:p>
    <w:p>
      <w:pPr>
        <w:spacing w:after="0" w:line="18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We rely on distributors and value-added resellers for the substantial majority of our sales, and the failure of our channel partners to promote and support sales of our products would materially reduce our expected future revenues.</w:t>
      </w:r>
    </w:p>
    <w:p>
      <w:pPr>
        <w:spacing w:after="0" w:line="5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rely on distributors for a substantial majority of our sales and our future success is highly dependent upon establishing and maintaining successful relationships with distributors and other channel partners. Recruiting and retaining qualified distributors and training them in our technology and products require significant time and resources. Our reliance on distributors for sales of our products results in limited visibility into demand and channel inventory levels, which in turn adversely impacts our ability to accurately forecast our future revenues. By relying on our channel partners, we may have less contact with end users, thereby making it more difficult for us to establish brand awareness, service ongoing network operator requirements and respond to evolving needs for new product functionality.</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Sales through distributors have been highly concentrated in a few distributors, with over 34% and 32% of our revenues in 2024 and 2025, respectively, coming from our three largest distributors in each year. In addition, certain of our distributors may rely disproportionately on sales to a small number of end customers. Termination or degradation of a relationship with a major distributor, or of a distributor with its major customer, could result in a temporary or permanent material loss of revenues. We may not be successful in finding other distributors on satisfactory terms, or at all, and our distributors may fail to maintain or replace business with their major customer, either of which could adversely affect our ability to sell in certain geographic markets or to certain network operators, adversely impacting our revenues, cash flow and market share.</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generally do not require minimum purchase commitments from our distributors, and our agreements do not prohibit our distributors from offering products or services that compete with ours or from terminating our contract on short notice. Many of our channel partners also sell products from our competitors. Some of our competitors may have stronger relationships with our channel partners than we do and we have limited control, if any, over the sale by our distributors of our products instead of our competitors’ products, or over the extent of the resources devoted to market and support our competitors’ products, rather than our products or solutions. Our competitors may be more effective in providing incentives to existing and potential distributors to favor their products or to prevent or reduce sales of our products. Our failure to establish and maintain successful relationships with our distributors would materially and adversely affect our business, operating results and financial condition.</w:t>
      </w:r>
    </w:p>
    <w:p>
      <w:pPr>
        <w:spacing w:after="0" w:line="18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If we or our distributors and channel partners are unable to attract new end users or sell additional products to end users that currently use our products, our revenue growth would be adversely affected, and our revenues could decrease.</w:t>
      </w:r>
    </w:p>
    <w:p>
      <w:pPr>
        <w:spacing w:after="0" w:line="5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increase our revenues, we depend on the adoption of our solutions by end users that purchase our products through our channel partners. End users typically need to make substantial investments when deploying network infrastructure, which can delay a purchasing decision. Once a network operator has deployed infrastructure for a particular portion of its network, it is often difficult and costly to switch to another vendor’s equipment. If we or our channel partners are unable to demonstrate that our products offer significant performance, functionality or cost advantages to the competitor’s product, it would be difficult for us to generate sales to that network operator once a competitor’s equipment has been deployed.</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future success also depends significantly on additional purchases of our products by end users that have previously purchased our products. End users may choose not to purchase additional products because of several factors, including dissatisfaction with our products or pricing relative to competitive offerings, reductions in network operators’ spending levels or other causes outside of our control. If we are not able to generate repeat purchases from end users, our revenues may grow more slowly than expected or may decline, and our business and operating results would be adversely affected.</w:t>
      </w:r>
    </w:p>
    <w:p>
      <w:pPr>
        <w:spacing w:after="0" w:line="181"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Our products are technologically complex and may contain undetected hardware defects or software bugs, which could result in increased warranty claims, increased costs, loss of revenues and harm to our reputation.</w:t>
      </w:r>
    </w:p>
    <w:p>
      <w:pPr>
        <w:spacing w:after="0" w:line="5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products are technologically complex and, when deployed, are critical to network operations. Our products rely on our proprietary embedded software and have in the past contained and may in the future contain undetected errors, bugs or security vulnerabilities, or suffer reliability or quality issues. Some defects in our products may only be discovered after a product has been installed and used by network operators. Any errors, bugs, defects, security vulnerabilities or quality or reliability issues discovered in our products after commercial release could result in increased warranty claims, damage to our reputation and brand, loss of market shares or loss of revenues, any of which could adversely affect our business, operating results and financial condition. In addition, our products operate in part in outdoor settings and must withstand environmental effects such as severe weather, lightning or other damage. Our products may also contain latent defects and errors from time to time related to embedded third-party components.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warranty claims that may require us to make significant expenditures to repair or replace defective products or redesign our products to eliminate product vulnerabilities. We may in the future also be the subject of product liability claims. Such claims could require a significant amount of time and expense to resolve and defend against and could harm our reputation by calling into question the quality of our products. We also may incur costs and expenses relating to a recall of one or more of our products. The process of identifying recalled products that have been widely distributed may be lengthy and require significant resources and we may incur significant replacement costs, contract damage claims from network operators and harm to our reputation. Additionally, defects and errors may cause our products to be vulnerable to security attacks, cause them to fail to help secure networks or temporarily interrupt network traffic. Although we disclaim responsibility for certain warranty and product liability claims as well as product recalls or security problems, any substantial costs or payments made in connection with warranty and product liability claims, product recalls or security problems could cause our operating results to decline and harm our brand.</w:t>
      </w:r>
    </w:p>
    <w:p>
      <w:pPr>
        <w:spacing w:after="0" w:line="18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sell our products is highly dependent on the quality of our support and services offerings, and our failure to offer high-quality support and services could have a material adverse effect on our business, operating results and financial condition</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End users of our products rely on our products for critical applications and, as such, high-quality support is critical for the successful marketing and sale of our products. If we or our channel partners do not provide adequate support in deploying our products or in resolving post-deployment issues quickly, our reputation may be harmed and our ability to sell our products could be materially and adversely affected. In addition, our business continues to evolve, as we offer select products only in conjunction with required support or services purchased in addition to product purchases. There can be no assurance that our ability to require purchase of support and services will be successful.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portion of our revenues are generated by sales to government entities, which are subject to a number of challenges and risks.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derive a portion of our revenues from contracts with government agencies and we believe the success and growth of our business will in part depend on our continued and increasing sales to U.S. and foreign, federal, state and local governmental end customers in the future. However, demand from government agencies is often unpredictable, and we may be unable to maintain or grow our revenues from this market. Sales to government agencies are subject to substantial risks, including but not limited to the following:</w:t>
      </w:r>
    </w:p>
    <w:p>
      <w:pPr>
        <w:spacing w:after="0" w:line="72" w:lineRule="exact"/>
        <w:rPr>
          <w:sz w:val="20"/>
          <w:szCs w:val="20"/>
          <w:color w:val="auto"/>
        </w:rPr>
      </w:pPr>
    </w:p>
    <w:p>
      <w:pPr>
        <w:ind w:left="1020" w:right="5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 agencies can be highly competitive, expensive and time-consuming, often requiring significant upfront time and expense without any assurance that such efforts will generate a sale;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entities may have statutory, contractual or other legal rights to terminate contracts with our channel partners or us for convenience or due to a default, and any such termination may adversely impact our future business, financial condition, results of operations and prospects;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9"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or other government certification requirements applicable to our goods and services may be difficult to meet, require an additional administrative or compliance burden on us not found in our commercial contracts, and if we are unable to meet these certification requirements, our ability to sell into the government sector may be adversely impacted until we have attained required certifications;</w:t>
      </w:r>
    </w:p>
    <w:p>
      <w:pPr>
        <w:spacing w:after="0" w:line="49"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services may be adversely impacted by public sector budgetary cycles and funding constraints;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 entities may require us to comply with various regulations that are not applicable to sales to non-government entities, including regulations that may relate to pricing, classified material and other matters, other requirements relating to compliance with regulatory matters or requirements regarding the development and maintenance of programs such as small business subcontracting, or compliance with EEOC or environmental requirements. Complying with such regulations may also require us to put in place controls and procedures to monitor compliance with the applicable regulations that may be costly or not possible;</w:t>
      </w:r>
    </w:p>
    <w:p>
      <w:pPr>
        <w:spacing w:after="0" w:line="75"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the U.S. and other governments may be subject to technological changes including changes in required standards that must be met, that are not required of non-governmental sales;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may require certain products that it purchases be manufactured in the United States and other relatively high-cost manufacturing locations under Buy American Act, Trade Agreements Act or other regulations, and we may not manufacture all products in locations that meet these requirements, which may preclude our ability to sell some products or services; and</w:t>
      </w:r>
    </w:p>
    <w:p>
      <w:pPr>
        <w:spacing w:after="0" w:line="67"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may investigate and audit government contractors’ administrative and financial processes and compliance with laws and regulations applicable to government contractors, and any unfavorable audit could result in fines, civil or criminal liability, damage to our reputation and suspension or debarment from further government business.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could cause governments and governmental agencies to delay or refrain from purchasing our products in the future, which could materially and adversely affect our operating results.</w:t>
      </w:r>
    </w:p>
    <w:p>
      <w:pPr>
        <w:spacing w:after="0" w:line="16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We generate a significant amount of revenues from sales outside of the United States, and we are therefore subject to a number of risks associated with international sales and operations.</w:t>
      </w:r>
    </w:p>
    <w:p>
      <w:pPr>
        <w:spacing w:after="0" w:line="5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extensive international operations and generate a significant amount of revenue from sales to channel partners in Europe, the Middle East and Africa, Asia-Pacific and South America. For example, sales outside of the United States accounted for 50% of total revenues in 2024 and 53% in 2025. We rely on our third-party logistics and warehousing provider, with distribution hubs currently in the United States, the Netherlands and Vietnam to fulfill the majority of our worldwide sales and to deliver our products to our customers. We have estimated the geographical distribution of our product revenues based on the ship-to destinations specified by our distributors when placing orders with us. Our ability to grow our business and our future success will depend on our ability to continue to expand our global operations and sales worldwide.</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a result of our international reach, we must hire and train experienced personnel to manage our international operations. If we experience difficulties in recruiting, training, managing and retaining an international staff, and specifically staff related to sales management and sales personnel, we may experience difficulties expanding our sales outside of the United States. If we are not able to maintain these relationships internationally or to recruit additional channel partners, our future international sales could be limited. Business practices in the international markets that we serve may differ from those in the United States and may require us in the future to include terms other than our standard terms in contracts.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international sales and operations are subject to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inflation on local economies;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drive fluctuations in our operating expenses;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local regulatory certifications in each jurisdiction, which may be delayed for political or other reasons other than product quality or performance;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or preferences for domestically manufactured products, which could reduce demand for our products or adversely impact our ability to fulfill customer orders;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technical standards, existing or future regulatory and certification requirements and required product features and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problems related to entering new markets with different languages, cultures and political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and collecting accounts receivable, and longer payment cycles, especially in emerging markets;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of intellectual property rights in some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regulatory requirements regarding our ability to repatriate profits to the United Kingdom;</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comply with foreign privacy, information security, and data protection laws and regulations and the risks and costs of non-compliance;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legal compliance obligations and complexity;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cost of terminating employees in some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war and terrorism;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spread of any diseases globally that might impact our operations.</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These and other factors could harm our ability to generate future international revenues. Expanding our existing international operations and entering into additional international markets will require significant management attention and financial commitments. Our failure to successfully manage our international operations and the associated risks effectively could limit our future growth or materially adversely affect our business, operating results and financial condition.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We are exposed to the credit risk of our channel partners, which could result in material losses.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generate a substantial majority of our revenues through sales to our distributors. Distributors may not have the resources required to meet payment obligations or may delay payments if their end customers are late making payments. Our exposure to credit risks of our channel partners and their end customers may increase if such entities are adversely affected by global or regional economic conditions. Given the broad geographic coverage of our distributor relationships, we have in the past and may in the future experience difficulties surrounding the collection of payments. Any significant delay or default in the collection of significant accounts receivable could result in the need for us to obtain working capital from other sources and could adversely impact our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do not effectively deploy and train our direct sales force, we may be unable to increase sales.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Although we rely on channel partners to fulfill the substantial majority of our sales, our direct sales force plays a critical role driving our sales through direct engagement with network operators. Although we have recently experienced reductions in our workforce, including in our sales force, we have invested and will from time to time continue to invest in our sales organization. There is significant competition for sales personnel with the skills and technical knowledge that we require. Our ability to achieve significant revenue growth will depend, in large part, on our success in recruiting, training, retaining and integrating sufficient numbers of sales personnel to support our growth, particularly in international markets. New hires require significant training and may take significant time before they achieve full productivity. Our recent hires may not become productive as quickly as we expect, and we may be unable to hire and retain sufficient numbers of qualified individuals needed to increase our sales. If we are unable to hire and train a sufficient number of effective sales personnel, or the sales personnel we hire do not achieve expected levels of productivity, our business, operating results and financial condition could be materially adversely affected.</w:t>
      </w:r>
    </w:p>
    <w:p>
      <w:pPr>
        <w:spacing w:after="0" w:line="186"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Our sales cycles can be long and unpredictable, and our sales efforts require considerable time and expense. As a result, our sales and revenues are difficult to predict and may vary substantially from period to period.</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sales efforts involve educating channel partners and network operators about the technical capabilities, applications and benefits of our products. Network operators typically require long sales cycles to select a product supplier and place sales orders. The sale process usually begins with an evaluation, followed by one or more network trials, followed by vendor selection and finally installation, testing and deployment. Network operator purchasing activity depends upon the stage of completion of expanding network infrastructures and the availability of funding, among other factors. We spend substantial time and resources on our sales efforts without any assurance that our efforts will produce any sales. In addition, purchases of our products are frequently subject to budget constraints, multiple approvals, unplanned administrative processing and other delays. Moreover, the evolving nature of the market may lead prospective network operators to postpone their purchasing decisions pending resolution of network standards or adoption of technology by others. Network operators may also postpone a purchase decision pending the release of new or enhanced products by us or others. As a result, it is difficult to predict whether a sale will be completed, the particular period in which a sale will be completed or the period in which revenues from a sale will be recognized, resulting in lumpy sales from period to period. Our operating results may therefore vary significantly from quarter to quarter.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loss of key personnel or an inability to attract, retain and motivate qualified personnel may impair our ability to expand our business.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success is substantially dependent upon the continued service and performance of our senior management team and key product development, technical, marketing and production personnel. Our employees, including our senior management team, are generally at-will employees, and therefore may terminate employment with us at any time with no advance notice. The replacement of any members of our senior management team or other key personnel likely would involve significant time and costs and may significantly delay or prevent the achievement of our business objectives. As a result of our current financial status, we are experiencing increased employee turnover, including involuntary turnover in our efforts to reduce operating expenses.</w:t>
      </w:r>
    </w:p>
    <w:p>
      <w:pPr>
        <w:spacing w:after="0" w:line="7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future success also depends, in part, on our ability to continue to attract and retain highly skilled personnel. Competition for highly skilled personnel is frequently intense, particularly for highly skilled research and development personnel. Any failure to successfully attract or retain qualified personnel to fulfill our current or future needs may negatively impact our growth.</w:t>
      </w:r>
    </w:p>
    <w:p>
      <w:pPr>
        <w:spacing w:after="0" w:line="17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We may acquire other businesses or divest assets, which could require significant management attention, disrupt our business, dilute shareholder value and adversely affect our operating results.</w:t>
      </w:r>
    </w:p>
    <w:p>
      <w:pPr>
        <w:spacing w:after="0" w:line="5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 execute our business strategy, we may acquire or make investments in complementary companies, products or technologies. Our integration of acquired businesses may not be successful and we may not achieve the benefits of the acquisition. We may not be able to find suitable acquisition candidates, and we may not be able to complete such acquisitions on favorable terms, if at all. If we do complete additional acquisitions, we may not ultimately strengthen our competitive position or achieve our goals, and any acquisitions we complete could be viewed negatively by our channel partners, investors and financial analysts. In addition, if we are unsuccessful at integrating such acquisitions, or the technologies associated with such acquisitions, into our company, the revenues and operating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t>results of the combined company could be adversely affected. Any integration process may require significant time and resources, and we may be unable to manage the process successfully. We may not successfully evaluate or utilize the acquired technology or personnel or accurately forecast the financial impact of an acquisition transaction, including unexpected liability or accounting charges. We may pay cash, incur debt or issue equity securities to pay for any future acquisition, each of which could adversely affect our financial condition or the value of our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addition, we may divest assets in order to raise financing, provide additional working capital or satisfy obligations to our secured lender, which could require significant management attention, disrupt our business, dilute shareholder value and adversely impact our operating results.</w:t>
      </w:r>
    </w:p>
    <w:p>
      <w:pPr>
        <w:spacing w:after="0" w:line="16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We face risks related to actual or threatened health epidemics and other outbreaks, which could significantly disrupt our manufacturing, sales and other operations.</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face a wide variety of risks related to public health crises, epidemics, pandemics or similar events, which can create significant volatility, uncertainty and economic disruption. The restrictions imposed by steps taken to address public health crises may disrupt economic activity, which may result in reduced commercial and consumer confidence and spending, increased unemployment, closure or restricted operating conditions for businesses, volatility in the global capital markets, instability in the credit and financial markets, labor shortages, regulatory relief for impacted consumers and disruption in supply chains. If a new health epidemic or outbreak were to occur, we could experience broad and varied impacts, including adverse impacts to our workforce or supply chain, inflationary pressures and increased costs, schedule or production delays, market volatility and other financial impacts. If any of these were to occur, our future results and performance could be adversely impacted. If our supply chain operations are affected or are curtailed by the outbreak of diseases, our supply chain, manufacturing and product shipments will be delayed, which could adversely affect our business, operations and customer relationships. We may need to seek alternate sources of supply which may be more expensive, unavailable or may result in delays in shipments to us from our supply chain and subsequently to our customers. Further, if our distributors’ or end user customers’ businesses are similarly affected, they might delay or reduce purchases from us, which could adversely affect our results of operations.</w:t>
      </w:r>
    </w:p>
    <w:p>
      <w:pPr>
        <w:spacing w:after="0" w:line="8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global pandemic or other health crisis will not have a material and adverse effect on our business, financial results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New regulations or standards or changes in existing regulations or standards in the United States or internationally related to our products may result in unanticipated costs or liabilities, which could have a material adverse effect on our business, results of operations and future sales.</w:t>
      </w:r>
    </w:p>
    <w:p>
      <w:pPr>
        <w:spacing w:after="0" w:line="5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products are subject to governmental regulations in a variety of jurisdictions. To achieve and maintain market acceptance, our products must comply with these regulations as well as a significant number of industry standards. In the United States, our products must comply with various regulations defined by the Federal Communications Commission ("FCC"), Underwriters Laboratories and others. We must also comply with similar international regulations, particularly those issued by the European Telecommunications Standards Institute ("ETSI"), as such directives are or may be adopted as regulations by governments in member states. In addition, radio emissions, such as our products, are subject to health and safety regulation in the United States and in other countries in which we do business, including by the Center for Devices and Radiological Health of the Food and Drug Administration, the Occupational Safety and Health Administration and various state agencies. Member countries of the European Union have enacted similar standards concerning electrical safety and electromagnetic compatibility and emissions, and chemical substances and use standards. As these regulations and standards evolve, and if new regulations or standards are implemented, we could be required to modify our products or develop and support new versions of our products, and our compliance with these regulations and standards may become more burdensome. The failure of our products to comply, or delays in compliance, with the various existing and evolving industry regulations and standards could prevent or delay the introduction of our products, which could harm our business. Changes in standards could cause our products to be required to be redesigned in order to meet these changing standards. Foreign regulatory agencies may delay or fail to certify our products for political or other reasons other than product quality or performance. Network operator uncertainty regarding future policies may also affect demand for wireless broadband products, including our products. Our inability to alter our products to address these requirements and any regulatory changes may have a material adverse effect on our business, operating results and financial condition.</w:t>
      </w:r>
    </w:p>
    <w:p>
      <w:pPr>
        <w:spacing w:after="0" w:line="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changes in government regulations providing funding for capital investment in new industries, products or services, such as any government funding of products supporting wireline connectivity rather than wireless connectivity, could adversely impact products that are purchased by our customers and adversely impact our business, results of operations and financial condition. Further, government requirements around the world requiring or providing preference to, domestically produced goods may limit our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right="680"/>
        <w:spacing w:after="0" w:line="282" w:lineRule="auto"/>
        <w:rPr>
          <w:sz w:val="20"/>
          <w:szCs w:val="20"/>
          <w:color w:val="auto"/>
        </w:rPr>
      </w:pPr>
      <w:r>
        <w:rPr>
          <w:rFonts w:ascii="Times New Roman" w:cs="Times New Roman" w:eastAsia="Times New Roman" w:hAnsi="Times New Roman"/>
          <w:sz w:val="18"/>
          <w:szCs w:val="18"/>
          <w:color w:val="auto"/>
        </w:rPr>
        <w:t>ability to sell our products to customers in such jurisdictions, impacting our ability to grow our sales in such jurisdictions, adversely impacting our revenues, operations and financial condition.</w:t>
      </w:r>
    </w:p>
    <w:p>
      <w:pPr>
        <w:spacing w:after="0" w:line="52"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A substantial portion of our product portfolio relies on the availability of unlicensed RF spectrum and if such spectrum were to become unavailable through overuse or licensing, the performance of our products could suffer and our revenues from their sales could decrease.</w:t>
      </w:r>
    </w:p>
    <w:p>
      <w:pPr>
        <w:spacing w:after="0" w:line="5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 substantial portion of our product portfolio operates in unlicensed RF spectrum, which is used by a wide range of consumer devices and is becoming increasingly crowded. If such spectrum usage continues to increase through the proliferation of consumer electronics and products competitive with ours, the resultant higher levels of noise in the bands of operation our products use could decrease the effectiveness of our products, which could adversely affect our ability to sell our products. Our business could be further harmed if currently unlicensed RF spectrum becomes licensed in the United States or elsewhere. Network operators that use our products may be unable to obtain licenses for RF spectrum. Even if the unlicensed spectrum remains unlicensed, existing and new governmental regulations may require us to make changes to our products. For example, to provide products for network operators who utilize unlicensed RF spectrum, we may be required to limit their ability to use our products in licensed or otherwise restricted RF spectrum. The operation of our products by network operators in the United States or elsewhere in a manner not in compliance with local law could result in fines, operational disruption, or harm to our reputation.</w:t>
      </w:r>
    </w:p>
    <w:p>
      <w:pPr>
        <w:spacing w:after="0" w:line="186"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If we do not successfully anticipate technological shifts and develop products and product enhancements that meet these technological shifts in a timely manner, we may not be able to compete effectively and our results of operations, financial conditions and prospects may suffer.</w:t>
      </w:r>
    </w:p>
    <w:p>
      <w:pPr>
        <w:spacing w:after="0" w:line="52" w:lineRule="exact"/>
        <w:rPr>
          <w:sz w:val="20"/>
          <w:szCs w:val="20"/>
          <w:color w:val="auto"/>
        </w:rPr>
      </w:pPr>
    </w:p>
    <w:p>
      <w:pPr>
        <w:ind w:right="20" w:firstLine="562"/>
        <w:spacing w:after="0" w:line="261" w:lineRule="auto"/>
        <w:rPr>
          <w:sz w:val="20"/>
          <w:szCs w:val="20"/>
          <w:color w:val="auto"/>
        </w:rPr>
      </w:pPr>
      <w:r>
        <w:rPr>
          <w:rFonts w:ascii="Times New Roman" w:cs="Times New Roman" w:eastAsia="Times New Roman" w:hAnsi="Times New Roman"/>
          <w:sz w:val="18"/>
          <w:szCs w:val="18"/>
          <w:color w:val="auto"/>
        </w:rPr>
        <w:t>We must continue to enhance our existing products and develop new technologies and products that address emerging technological trends, evolving industry standards and changing end-customer needs. The process of enhancing our existing products and developing new technology is complex and uncertain, and new offerings require significant upfront investment that may not result in material design improvements to existing products or result in marketable new products or costs savings or revenue for an extended period of time, if at all.</w:t>
      </w:r>
    </w:p>
    <w:p>
      <w:pPr>
        <w:spacing w:after="0" w:line="72" w:lineRule="exact"/>
        <w:rPr>
          <w:sz w:val="20"/>
          <w:szCs w:val="20"/>
          <w:color w:val="auto"/>
        </w:rPr>
      </w:pPr>
    </w:p>
    <w:p>
      <w:pPr>
        <w:ind w:right="420" w:firstLine="562"/>
        <w:spacing w:after="0" w:line="282" w:lineRule="auto"/>
        <w:rPr>
          <w:sz w:val="20"/>
          <w:szCs w:val="20"/>
          <w:color w:val="auto"/>
        </w:rPr>
      </w:pPr>
      <w:r>
        <w:rPr>
          <w:rFonts w:ascii="Times New Roman" w:cs="Times New Roman" w:eastAsia="Times New Roman" w:hAnsi="Times New Roman"/>
          <w:sz w:val="18"/>
          <w:szCs w:val="18"/>
          <w:color w:val="auto"/>
        </w:rPr>
        <w:t>In addition, new technologies could render our existing products obsolete or less attractive to customers, and our business, financial condition, results of operations and prospects could be materially adversely affected if such technologies are widely adopted.</w:t>
      </w:r>
    </w:p>
    <w:p>
      <w:pPr>
        <w:spacing w:after="0" w:line="54" w:lineRule="exact"/>
        <w:rPr>
          <w:sz w:val="20"/>
          <w:szCs w:val="20"/>
          <w:color w:val="auto"/>
        </w:rPr>
      </w:pPr>
    </w:p>
    <w:p>
      <w:pPr>
        <w:ind w:right="20" w:firstLine="562"/>
        <w:spacing w:after="0" w:line="254" w:lineRule="auto"/>
        <w:rPr>
          <w:sz w:val="20"/>
          <w:szCs w:val="20"/>
          <w:color w:val="auto"/>
        </w:rPr>
      </w:pPr>
      <w:r>
        <w:rPr>
          <w:rFonts w:ascii="Times New Roman" w:cs="Times New Roman" w:eastAsia="Times New Roman" w:hAnsi="Times New Roman"/>
          <w:sz w:val="18"/>
          <w:szCs w:val="18"/>
          <w:color w:val="auto"/>
        </w:rPr>
        <w:t>In the past several years, we have announced a number of new products and enhancements to our products and services. The success of our new products depends on several factors including, but not limited to, addressing spectrum requirements, developing Wi-Fi standards such as Wi-Fi 7, the development of product features that sufficiently meet end-user requirements, our ability to manage the risks associated with new product production ramp-up issues (and old product ramp-down cleanliness), component costs, availability of components, timely completion and introduction of these products, prompt solution of any defects or bugs in these products, our ability to support these products, differentiation of new products from those of our competitors and market acceptance of these products. If we are unable to successfully manage our product introductions or transitions, or if we fail to penetrate new markets, as a result of any of these or other factors, our business, financial condition, results of operations and prospects could be adversely affected. Should we move too early or too late on any of these technology evolutions, we would be materially adversely affected in the market.</w:t>
      </w:r>
    </w:p>
    <w:p>
      <w:pPr>
        <w:spacing w:after="0" w:line="84" w:lineRule="exact"/>
        <w:rPr>
          <w:sz w:val="20"/>
          <w:szCs w:val="20"/>
          <w:color w:val="auto"/>
        </w:rPr>
      </w:pPr>
    </w:p>
    <w:p>
      <w:pPr>
        <w:jc w:val="both"/>
        <w:ind w:right="160" w:firstLine="562"/>
        <w:spacing w:after="0" w:line="261" w:lineRule="auto"/>
        <w:rPr>
          <w:sz w:val="20"/>
          <w:szCs w:val="20"/>
          <w:color w:val="auto"/>
        </w:rPr>
      </w:pPr>
      <w:r>
        <w:rPr>
          <w:rFonts w:ascii="Times New Roman" w:cs="Times New Roman" w:eastAsia="Times New Roman" w:hAnsi="Times New Roman"/>
          <w:sz w:val="18"/>
          <w:szCs w:val="18"/>
          <w:color w:val="auto"/>
        </w:rPr>
        <w:t>We may not be able to successfully anticipate or adapt to changing technology or end-customer requirements on a timely basis, or at all. If we fail to keep up with technology changes or to convince our customers and potential customers of the value of our solutions even in light of new technologies, we may lose customers, decrease or delay market acceptance and sales of our present and future products and services and materially and adversely affect our business, financial condition, results of operations and prospects.</w:t>
      </w:r>
    </w:p>
    <w:p>
      <w:pPr>
        <w:spacing w:after="0" w:line="17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and subject us to liability if we are not in compliance with applicable laws.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firstLine="509"/>
        <w:spacing w:after="0" w:line="253" w:lineRule="auto"/>
        <w:rPr>
          <w:sz w:val="20"/>
          <w:szCs w:val="20"/>
          <w:color w:val="auto"/>
        </w:rPr>
      </w:pPr>
      <w:r>
        <w:rPr>
          <w:rFonts w:ascii="Times New Roman" w:cs="Times New Roman" w:eastAsia="Times New Roman" w:hAnsi="Times New Roman"/>
          <w:sz w:val="18"/>
          <w:szCs w:val="18"/>
          <w:color w:val="auto"/>
        </w:rPr>
        <w:t>Our technology and products are subject to export control and import laws and regulations, including the U.S. Export Administration Regulations, U.S. customs regulations, the economic and trade sanctions regulations administered by the U.S. Treasury Department’s Office of Foreign Assets Controls, and applicable U.K., EU and Netherlands export and import laws and regulations as well as applicable regulations in jurisdictions from which we ship products. Exports, re-exports and transfers of our products and technology must be made in compliance with these laws and regulations. U.S., U.K. and EU export control laws and economic sanctions include a prohibition on the shipment of certain products and technology to embargoed or sanctioned countries, governments and persons. We take precautions to prevent our products and technology from being shipped to, downloaded by or otherwise transferred to applicable sanctions targets, but our products could be shipped to those targets by our channel partners despite such precautions. If our products are shipped to or downloaded by sanctioned targets in the future in violation of applicable export laws, we could be subject to government investigations, penalties and reputational harm. Certain of our products incorporate encryption technology and may be exported, re-exported or transferred only with the required applicable export license from the U.S., U.K., or the EU through an export license exception.</w:t>
      </w:r>
    </w:p>
    <w:p>
      <w:pPr>
        <w:spacing w:after="0" w:line="8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fail to comply with applicable export and import regulations, customs and trade regulations, and economic sanctions and other laws, we could be subject to substantial civil and criminal penalties, including fines and incarceration for responsible employees and managers, and the possible loss of export or import privileges as well as harm our reputation and indirectly have a material adverse effect on our business, operating results and financial condition. In addition, if our channel partners fail to comply with applicable export and import regulations, customs regulations, and economic and sanctions and other laws in connection with our products and technology, then we may also be adversely affected, through reputational harm and penalties. Obtaining the necessary export license for a particular sale may be time-consuming, may result in the delay or loss of sales opportunities and approval is not guaranteed.</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Any change in export or import, customs or trade and economic sanctions laws, and regulations,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network operators with international operations. Any decreased use of our products or limitation on our ability to export or sell our products could affect our business, financial condition and results of operations.</w:t>
      </w:r>
    </w:p>
    <w:p>
      <w:pPr>
        <w:spacing w:after="0" w:line="181"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We do business in countries with a history of corruption and transact business with foreign governments, which increases the risks associated with our international activitie</w:t>
      </w:r>
      <w:r>
        <w:rPr>
          <w:rFonts w:ascii="Times New Roman" w:cs="Times New Roman" w:eastAsia="Times New Roman" w:hAnsi="Times New Roman"/>
          <w:sz w:val="18"/>
          <w:szCs w:val="18"/>
          <w:color w:val="auto"/>
        </w:rPr>
        <w:t>s.</w:t>
      </w:r>
    </w:p>
    <w:p>
      <w:pPr>
        <w:spacing w:after="0" w:line="5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U.K. Bribery Act of 2010, and many other laws around the world that prohibit improper payments or offers or authorization of payments to governments and their employees, officials, and agents and political parties for the purpose of obtaining or retaining business, inducing an individual to not act in good faith, direct business to any person, or secure any advantage. We have operations, deal with and make sales to governmental entities in countries known to experience corruption, particularly certain emerging countries in Asia, Eastern Europe, the Middle East and South America. Our activities in these countries create the risk of illegal or unauthorized payments or offers of payments or other things of value by our employees, consultants or channel partners that could be in violation of applicable anti-corruption laws, including the FCPA. In many foreign countries where we operate, particularly in countries with developing economies, it may be a local custom for businesses to engage in practices that are prohibited by the FCPA or other similar laws and regulations. Although we have taken actions to discourage and prevent illegal practices including our anti-corruption compliance policies, procedures, training and monitoring, the actions taken to safeguard against illegal practices, and any future improvements in our anti-corruption compliance practices, may not be effective, and our employees, consultants or channel partners may engage in illegal conduct for which we might be held responsible. Violations of anti-corruption laws may result in severe criminal or civil sanctions, including suspension or debarment from government contracting, and we may be subject to other liabilities and significant costs for investigations, litigation and fees, diversion of resources, negative press coverage, or reputational harm, all of which could negatively affect our business, operating results and financial condition. In addition, the failure to create and maintain accurate books and records or the failure to maintain an adequate system of internal accounting controls may subject us to sanctions.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fail to comply with environmental requirements, our business, financial condition, operating results and reputation could be adversely affected.</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and laws relating to the recycling of electrical and electronic equipment as well as packaging and recycling requirements. The laws and regulations to which we are subject include the European Union’s Restriction of Hazardous Substances Directive ("RoHS"), and Waste Electrical and Electronic Equipment Directive ("WEEE"), as implemented by EU member states. Similar laws and regulations exist or are pending in other regions, including in the United States, and we are, or may in the future be, subject to these laws and regulations.</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RoHS restricts the use of certain hazardous materials, including lead, mercury and cadmium, in the manufacture of certain electrical and electronic products, including some of our products. We have incurred, and expect to incur in the future, costs to comply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right="40"/>
        <w:spacing w:after="0" w:line="261" w:lineRule="auto"/>
        <w:rPr>
          <w:sz w:val="20"/>
          <w:szCs w:val="20"/>
          <w:color w:val="auto"/>
        </w:rPr>
      </w:pPr>
      <w:r>
        <w:rPr>
          <w:rFonts w:ascii="Times New Roman" w:cs="Times New Roman" w:eastAsia="Times New Roman" w:hAnsi="Times New Roman"/>
          <w:sz w:val="18"/>
          <w:szCs w:val="18"/>
          <w:color w:val="auto"/>
        </w:rPr>
        <w:t>with these laws, including research and development costs, and costs associated with assuring the supply of compliant components. Certain of our products are eligible for an exemption for lead used in network infrastructure equipment. If this exemption is revoked, or if there are other changes to RoHS (or its interpretation) or if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WEEE requires producers of electrical and electronic equipment to be responsible for the collection, reuse, recycling and treatment of their products. Currently, our distributors generally take responsibility for this requirement, as they are often the importer of record. However, changes to WEEE and existing or future laws similar to WEEE may require us to incur additional costs in the future.</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comply with these or similar laws or regulations, we could incur fines, penalties, restrictions on our ability to manufacture our products or restrictions or limitations on our ability to import or export our products to or from various jurisdictions.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Any failure to comply with current and future environmental laws could result in the incurrence of fines or penalties and could adversely affect the demand for or sales of our products.</w:t>
      </w:r>
    </w:p>
    <w:p>
      <w:pPr>
        <w:spacing w:after="0" w:line="16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5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Personal privacy, data protection, information security and telecommunications-related laws and regulations have been widely adopted in the United States, Europe and in other jurisdictions where we sell our products. The regulatory frameworks for these matters, including privacy, data protection and information security matters, is rapidly evolving and is likely to remain uncertain for the foreseeable future. We expect that there will continue to be new proposed laws, regulations and industry standards concerning privacy, data protection, information security and telecommunications services in the United States, the European Union and other jurisdictions in which we operate or may operate, and it is not known what impact such future laws, regulations and standards may have on our business.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also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products, restrict our business operations, increase our costs and impair our ability to maintain and grow our channel partner base and increase our revenues. The cost of compliance with, and other burdens imposed by new privacy laws may limit the use and adoption of our products and services and could have an adverse impact on our business, results of operations and financial condition.</w:t>
      </w:r>
    </w:p>
    <w:p>
      <w:pPr>
        <w:spacing w:after="0" w:line="75"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privacy and data security laws and regulations, industry standards, contractual obligations and other legal obligations, those laws, regulations, standards and obligations are evolving and may be modified, interpreted and applied in an inconsistent manner from one jurisdiction to another, and may conflict with one another. As such, we cannot assure ongoing compliance with all such laws, regulations, standards and obligations. Any failure or perceived failure by us to comply with applicable laws, regulations, standards or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channel partners to lose trust in us, which could have an adverse effect on our reputation and business.</w:t>
      </w:r>
    </w:p>
    <w:p>
      <w:pPr>
        <w:spacing w:after="0" w:line="79"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Our actual or perceived failure to comply with applicable data protection laws or adequately protect personal data could result in claims of liability against us, damage our reputation or otherwise materially harm our business.</w:t>
      </w:r>
    </w:p>
    <w:p>
      <w:pPr>
        <w:spacing w:after="0" w:line="5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Global privacy and data protection-related laws and regulations are evolving, extensive, and complex. Compliance with these laws and regulations can be difficult and costly. In addition, evolving legal requirements restricting or governing the collection, use, processing, or cross-border transmission of personal data, including cloud-based services, could materially affect our customers’ ability to use, and our ability to sell, our products and services. The interpretation and application of these laws and regulations in some instances is uncertain, and our legal and regulatory obligations are subject to frequent changes. For example, the EU General Data Protection Regulation ("EU GDPR"), and the similar UK implementation of the EU GDPR by virtue of section 3 of the European Union (Withdrawal) Act 2018 (which sits alongside the UK Data Protection Act 2018, as amended by the U.K&gt; Data (Use and Access) Act 2025) (known as the "UK GDPR”, and together with the "EU GDPR", the "GDPR") applies to the extent that our personal data processing activities:</w:t>
      </w:r>
    </w:p>
    <w:p>
      <w:pPr>
        <w:spacing w:after="0" w:line="3" w:lineRule="exact"/>
        <w:rPr>
          <w:sz w:val="20"/>
          <w:szCs w:val="20"/>
          <w:color w:val="auto"/>
        </w:rPr>
      </w:pPr>
    </w:p>
    <w:p>
      <w:pPr>
        <w:ind w:firstLine="8"/>
        <w:spacing w:after="0" w:line="252"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conducted by or on behalf of an 'establishment' in the EU or UK; or (ii) related to products or services offered to individuals in the EU or UK or the monitoring of their behavior while in the EU or UK. The GDPR imposes a range of compliance obligations on controllers regarding the processing of personal data, including among others: (i) accountability and transparency requirements, which require controllers to demonstrate and record compliance with the GDPR and to provide detailed information to data subjects regarding processing; (ii) enhanced requirements for obtaining valid consent where consent is the lawful basis for processing; (iii) obligations to consider data protection as any new products or services are developed and to limit the amount of personal data processed; (iv) obligations to comply with data protection rights of data subjects including without limitation a right of access to and rectification of personal data, a right to obtain restriction of processing or to object to processing of personal</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80"/>
        <w:spacing w:after="0" w:line="256" w:lineRule="auto"/>
        <w:rPr>
          <w:sz w:val="20"/>
          <w:szCs w:val="20"/>
          <w:color w:val="auto"/>
        </w:rPr>
      </w:pPr>
      <w:r>
        <w:rPr>
          <w:rFonts w:ascii="Times New Roman" w:cs="Times New Roman" w:eastAsia="Times New Roman" w:hAnsi="Times New Roman"/>
          <w:sz w:val="18"/>
          <w:szCs w:val="18"/>
          <w:color w:val="auto"/>
        </w:rPr>
        <w:t>data and a right to ask for a copy of personal data to be provided to a third party in a usable format and erasing personal data in certain circumstances; (v) obligations to implement appropriate technical and organizational security measures to safeguard personal data; and (vi) obligations to report certain personal data breaches to the relevant supervisory authority without undue delay (and no later than 72 hours where feasible) and/or to concerned individuals without undue delay. In the event of non-compliance, the EU GDPR provides for robust regulatory enforcement and fines. In addition, the GDPR confers a private right of action on data subjects and consumer associations to lodge complaints with supervisory authorities, seek judicial remedies and obtain compensation for damages resulting from violations of the GDPR.</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Additionally, in the United States, we are subject to the California Consumer Privacy Act, as amended ("CCPA") and other laws, regulations and obligations that relate to the handling of personal data. The CCPA includes extensive requirements for businesses that are subject to the law, including to provide certain privacy notices to California residents and to honor residents' rights related to their personal data (e.g., to access, delete and opt out of "sales" and "sharing" of personal data, as those terms are defined under the CCPA, subject to certain exceptions). The CCPA provides for civil penalties for violations, as well as private right of action for certain data breaches.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interpretation and application of the laws to which we are or may become subject may be uncertain and the laws may be interpreted and applied in a manner inconsistent with our current policies and practices. Our actual or perceived failure to comply with applicable laws and regulations or other obligations relating to personal data, or to protect personal data from unauthorized access, use, or other processing, could subject us to liability to our customers, data subjects, suppliers, service providers, business partners, employees, and others, give rise to legal and/or regulatory actions, could damage our reputation or could otherwise materially harm our business, any of which could have a material adverse effect on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Cyber-attacks, and other security incidents on our or our service providers' system may disrupt our operations, harm our operating results and financial condition, and damage our reputation or otherwise materially harm our business; and cyber-attacks or other security attacks in cloud-based services provided by or enabled by us, could result in claims of liability against us, damage our reputation or otherwise materially harm our business.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otherwise process information, including intellectual property and customer and other business information (which also may include personal data). The secure storage, maintenance, and transmission of and access to this information is critical to our operations, business strategy, and reputation. Cyber-attacks are increasing in their frequency, sophistication and intensity and have become more difficult to detect. Cyber-attacks could include the deployment of harmful malware, ransomware, denial-of-service attacks, social engineering and other means to affect service reliability and threaten the confidentiality, integrity and availability of our and our service providers' systems and the information on those systems. Cyber-attacks also could include phishing attempts or e-mail fraud to cause unauthorized payments or information to be transmitted to an unintended recipient, or to permit unauthorized access to systems. We experience attempts to gain unauthorized access to our systems on a regular basis, and we anticipate continuing to be subject to such attempts. Despite our implementation of security measures, (i) our products and services, and (ii) the servers, data centers, and cloud-based solutions on which our and third-party data is stored, are vulnerable to cyber-attacks, and other security incidents, and disruptions from unauthorized access, tampering or other theft or misuse, including by employees, malicious actors or inadvertent error. Such events on our or our service providers' systems could in the future compromise or disrupt access to or the operation of our products, services, and networks or those of our service providers or customers, or result in the information stored on our systems or those of our service providers or customers being improperly accessed, processed, disclosed, lost or stolen. We have not to date experienced a material event related to a cybersecurity attack; however, the occurrence of any such event in the future could subject us to liability to our customers, suppliers, service providers, business partners and others, give rise to legal and/or regulatory action, could damage our reputation or otherwise materially harm our business, and could have a material adverse effect on our business, operating results, and financial condition. Efforts to limit the ability of malicious actors to disrupt our operations or undermine our own security efforts may be costly to implement and may not be successful. Breaches of security in our suppliers' networks, or in cloud-based services provided by or enabled by us, regardless of whether the breach is attributable to a vulnerability in our products or services, could result in claims of liability against us, damage our reputation or otherwise materially harm our business.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Vulnerabilities and critical security defects, prioritization decisions regarding remedying vulnerabilities or security defects, failure of third-party providers to remedy vulnerabilities or security defects, or customers not deploying security releases or deciding not to upgrade products, services or solutions could result in claims of liability against us, damage our reputation, or otherwise materially harm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products and services we sell to customers, and our cloud-based solutions, inevitably contain vulnerabilities or critical security defects which have not been remedied and cannot be disclosed without compromising security. We also make prioritization decisions in determining which vulnerabilities or security defects to fix and the timing of these fixes. Customers may also delay the deployment or implementation of fixes offered or made available by us. In addition, we rely on third-party providers of software and cloud-based services, and we cannot control the rate at which they remedy vulnerabilities. When customers do not deploy specific releases or decide not to upgrade to the latest versions of our products, services or cloud-based solutions containing the release, they may be left vulnerable. Vulnerabilities and critical security defects, prioritization errors in remedying vulnerabilities or security defects, failure of third-party providers to remedy vulnerabilities or security defects, or customers not deploying specific releases or deciding not to upgrade products, services or solutions could result in claims of liability against us, damage our reputation or otherwise materially harm our business.</w:t>
      </w:r>
    </w:p>
    <w:p>
      <w:pPr>
        <w:spacing w:after="0" w:line="1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Issues related to the development and use of artificial intelligence (AI) could give rise to legal and/or regulatory action, damage our reputation or otherwise materially harm our business.</w:t>
      </w:r>
    </w:p>
    <w:p>
      <w:pPr>
        <w:spacing w:after="0" w:line="5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reviewing the use of AI technology in certain of our business operations, products or services and have released AI enhanced features in cnMaestro X and in our support organization. Our research and development of such technology remains ongoing. AI presents risks, challenges, and unintended consequences that could affect our and our customers’ adoption and use of this technology. AI algorithms and training methodologies may be flawed. Additionally, AI technologies are complex and rapidly evolving, and we face significant competition in the market and from other companies regarding such technologies. While we aim to develop and use AI responsibly and attempt to identify and mitigate ethical and legal issues presented by its use, we may be unsuccessful in identifying or resolving issues before they arise. AI-related issues, deficiencies and/or failures could (i) give rise to legal and/or regulatory action, including with respect to current and proposed legislation regulating AI in jurisdictions such as the European Union, United States and others, and as a result of new applications of existing data protection, privacy, intellectual property, and other laws; (ii) damage our reputation; or (iii) otherwise materially harm our business. We also face risks of competitive disadvantage if our competitors more effectively use AI to create new or enhanced products or services that we are unable to compete against. In addition, if we elect not to incorporate AI into our products and services offerings, we may be at a competitive disadvantage to those of our competitors who are able to effectively include AI in their products and services, which may cause our products to fail to compete effectively.</w:t>
      </w:r>
    </w:p>
    <w:p>
      <w:pPr>
        <w:spacing w:after="0" w:line="18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protect our intellectual property rights, our competitive position could be harmed, or we may incur significant expenses to enforce our rights.</w:t>
      </w:r>
    </w:p>
    <w:p>
      <w:pPr>
        <w:spacing w:after="0" w:line="5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protect our proprietary information and technology through license agreements, nondisclosure agreements, noncompetition covenants, and other contractual provisions and agreements, as well as through patent, trademark, copyright and trade secret laws in the United States and similar laws in other countries. These protections may not be available in all jurisdictions and may be inadequate to prevent our competitors or other third-party manufacturers from copying, reverse engineering or otherwise obtaining and using our technology, proprietary rights or products. For example, the laws of certain countries in which our products are manufactured or licensed do not protect our proprietary rights to the same extent as the laws of the United States. In addition, third parties may seek to challenge, invalidate or circumvent our patents, trademarks, copyrights and trade secrets, or applications for any of the foregoing. We have focused patent, trademark, copyright and trade secret protection primarily in the United States and Europe, although we distribute our products globally. As a result, we may not have sufficient protection of our intellectual property in all countries where infringement may occur. There can be no assurance that our competitors will not independently develop technologies that are substantially equivalent or superior to our technology or design around our proprietary rights. In each case, our ability to compete could be significantly impaired. 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may not be successful in such 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by others that we infringe their intellectual property rights could harm our business.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industry is characterized by vigorous protection and pursuit of intellectual property rights. A number of companies hold a large number of patents that may cover technology necessary for our products. We have in the past received and expect to continue to receive claims from third parties that we infringe their intellectual property rights.</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received correspondence from certain patent holding companies who assert that we infringe certain patents related to wireless communication technologies. A court adjudicating a claim that we infringe these patents may not rule in our favor should these patent holding companies file suit against us. As our business expands, we enter into new technologies, and the number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t>of products and competitors in our market increases, we expect that infringement claims may increase in number and significance. It is not uncommon for suppliers of certain components of our products, such as chipsets, to be involved in intellectual property-related lawsuits by or against third parties. Our key component suppliers are often targets of such assertions, and we may become a target as well. Any claims or proceedings against us, whether meritorious or not, could be time-consuming, result in costly litigation, require significant amounts of management time or result in the diversion of significant operational resources, any of which could materially and adversely affect our business and operating results.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Intellectual property lawsuits are subject to inherent uncertainties due to the complexity of the technical issues involved, and we cannot be certain that we will be successful in defending ourselves against intellectual property claims. In addition, we currently have a limited portfolio of issued patents compared to our larger competitors and therefore may not be able to effectively utilize our intellectual property portfolio to assert defenses or counterclaims in response to patent infringement claims or litigation brought against us by third parties. Patent holding companies may seek to monetize patents they previously developed, have purchased or otherwise obtained. Many companies, including our competitors, may now, and in the future, have significantly larger and more mature patent portfolios than we have, which they may use to assert claims of infringement, misappropriation and other violations of intellectual property rights against us. In addition, future litigation may involve non-practicing entities or other patent owners who have no relevant products or revenue and against whom our own patents may therefore provide little or no deterrence or protection, and many other potential litigants have the capability to dedicate substantially greater resources than we do to enforce their intellectual property rights and to defend claims that may be brought against them.</w:t>
      </w:r>
    </w:p>
    <w:p>
      <w:pPr>
        <w:spacing w:after="0" w:line="8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 successful claimant could secure a judgment that requires us to pay substantial damages or prevents us from distributing certain products, obtaining the services of certain employees or independent contractors, or performing certain services. In addition, we might be required to seek a license for the use of such intellectual property, which may not be available on commercially acceptable terms or at all. Alternatively, we may be required to develop non-infringing technology, which could require significant effort and expense and may ultimately not be successful. Any claims or proceedings against us, whether meritorious or not, could be time consuming, result in costly litigation, require significant amounts of management time, result in the diversion of significant operational resources, or require us to enter into royalty or licensing agreements.</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Although we may be able to seek indemnification from our component suppliers and certain of our third-party manufacturers who have provided us with design and build services, these third-party manufacturers or component suppliers may contest their obligations to indemnify us, or their available assets or indemnity obligation may not be sufficient to cover our losses.</w:t>
      </w:r>
    </w:p>
    <w:p>
      <w:pPr>
        <w:spacing w:after="0" w:line="174"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If our third-party manufacturers do not respect our intellectual property and trade secrets and produce competitive products using our design, our business would be harmed.</w:t>
      </w:r>
    </w:p>
    <w:p>
      <w:pPr>
        <w:spacing w:after="0" w:line="5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outsource manufacture, and in some cases hardware or software design, to third-party manufacturers predominantly in Thailand, Vietnam, Philippines and Taiwan, among other locations. We have previously worked with third-party manufacturers in China, and periodically evaluate manufacturers in other locations. Prosecution of intellectual property infringement and trade secret theft is more difficult in some of these jurisdictions than in the United States. Although our agreements with our third-party manufacturers generally preclude them from misusing our intellectual property and trade secrets, or using our designs to manufacture product for our competitors, we may be unsuccessful in monitoring and enforcing our intellectual property rights and may find counterfeit goods in the market being sold as our products or products similar to ours produced for our competitors using our intellectual property. Although we take steps to stop counterfeits, we may not be successful and network operators who purchase these counterfeit goods may experience product defects or failures, resulting in harm to our reputation and brand and causing us to lose future sales.</w:t>
      </w:r>
    </w:p>
    <w:p>
      <w:pPr>
        <w:spacing w:after="0" w:line="190"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Our operating results may be adversely affected and damage to our reputation may occur due to production and sale of counterfeit versions of our products.</w:t>
      </w:r>
    </w:p>
    <w:p>
      <w:pPr>
        <w:spacing w:after="0" w:line="52"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Our products could be subject to efforts by third parties to produce counterfeit versions of our products. If we become the target of the manufacture of counterfeit goods, are unable to block their sale, are unable to detect counterfeit products in customer networks, or are unable to succeed in prosecuting counterfeiters and their distributors, such counterfeit sales, to the extent they replace otherwise legitimate sales, could adversely affect our operating results.</w:t>
      </w:r>
    </w:p>
    <w:p>
      <w:pPr>
        <w:spacing w:after="0" w:line="15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use open source software in our products that may subject our firmware to general release or require us to re-engineer our products and the firmware contained therein, which may cause harm to our business.</w:t>
      </w:r>
    </w:p>
    <w:p>
      <w:pPr>
        <w:spacing w:after="0" w:line="5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incorporate open source software into our products. 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If we combine our proprietary firmware or other software with open source software in a certain manner,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right="60"/>
        <w:spacing w:after="0" w:line="261" w:lineRule="auto"/>
        <w:rPr>
          <w:sz w:val="20"/>
          <w:szCs w:val="20"/>
          <w:color w:val="auto"/>
        </w:rPr>
      </w:pPr>
      <w:r>
        <w:rPr>
          <w:rFonts w:ascii="Times New Roman" w:cs="Times New Roman" w:eastAsia="Times New Roman" w:hAnsi="Times New Roman"/>
          <w:sz w:val="18"/>
          <w:szCs w:val="18"/>
          <w:color w:val="auto"/>
        </w:rPr>
        <w:t>we could, under certain of the open source licenses, be required to release our proprietary source code publicly or license such source code on unfavorable terms or at no cost. Open source license terms relating to the disclosure of source code in modifications or derivative works to the open source software are often ambiguous and few if any courts in jurisdictions applicable to us have interpreted such terms. As a result, many of the risks associated with usage of open source software cannot be eliminated, and could, if not properly addressed, negatively affect our business.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we were found to have inappropriately used open source software, we may be required to release our proprietary source code, re-engineer our firmware or other software, discontinue the sale of our products in the event re-engineering cannot be accomplished on a timely basis or take other remedial action that may divert resources away from our development efforts, any of which could adversely increase our expenses and delay our ability to release our products for sale. We could also be subject to similar conditions or restrictions should there be any changes in the licensing terms of the open source software incorporated into our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the availability of third-party licenses, the loss of which could materially harm our ability to sell our products.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rely on certain software or other intellectual property licensed from third parties. It may be necessary in the future to seek new licenses or renew existing licenses. There can be no assurance that the necessary licenses would be available on acceptable terms, if at all. If we are unable to maintain these licenses, or obtain licenses to alternative third-party intellectual property, on acceptable terms, we may be precluded from selling our products, may be required to re-design our products to eliminate reliance on such third-party intellectual property or otherwise experience disruption in operating our business. Third parties owning such intellectual property may engage in litigation against us seeking protection of their intellectual property rights, any of which could have a material adverse effect on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obligation to indemnify our channel partners or end users against intellectual property infringement claims could cause us to incur substantial costs.</w:t>
      </w:r>
    </w:p>
    <w:p>
      <w:pPr>
        <w:spacing w:after="0" w:line="11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have agreed, and expect to continue to agree, to indemnify our channel partners and network operators for certain intellectual property infringement claims. If intellectual property infringement claims are made against our channel partners or network operators concerning our products, we could be required to indemnify them for losses resulting from such claims or to refund amounts they have paid to us. The maximum potential amount of future payments we could be required to make may be substantial or unlimited and could materially harm our business. We may in the future agree to defend and indemnify our distributors, network operators and other parties, even if we do not believe that we have an obligation to indemnify them or that our services and products infringe the asserted intellectual property rights. Alternatively, we may reject certain of these indemnity demands, which may lead to disputes with a distributor, network operator or other party and may negatively impact our relationships with the party demanding indemnification or result in litigation against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accounting risks</w:t>
      </w:r>
    </w:p>
    <w:p>
      <w:pPr>
        <w:spacing w:after="0" w:line="227"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which could adversely affect our business, financial condition, results of operations and prospects.</w:t>
      </w:r>
    </w:p>
    <w:p>
      <w:pPr>
        <w:spacing w:after="0" w:line="5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risk; however, as a result of the strengthening U.S. dollar, there has been an increase in the cost of our products to our end customers outside of the U.S., which could adversely affect our business, financial condition, results of operations and prospects. In addition, a decrease in the value of the U.S. dollar relative to foreign currencies could increase our product and operating costs in foreign locations. Further, a portion of our operating expenses is incurred outside the U.S., is denominated in foreign currencies and is subject to fluctuations due to changes in foreign currency exchange rates. If we are not able to successfully hedge against the risks associated with the currency fluctuations, our business, financial condition, results of operations and prospects could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exposure to unknown tax liabilities, which could adversely affect our financial condition, cash flows and results of operations.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income and non-income-based taxes in the United States and in various non-U.S. jurisdictions. We file U.S. federal income tax returns as well as income tax returns in various U.S. state and local jurisdictions and many non-U.S. jurisdictions. The United States, United Kingdom, India, Mexico, and Brazil are the main taxing jurisdictions in which we operate. Significant judgment is required in dealing with uncertainties in the application of complex tax regulations when calculating our worldwide income tax liabilities and other tax liabilities. We are not aware of any uncertain tax positions as specified by Accounting Standards Codification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expect to continue to benefit from our implemented tax positions. We believe that our tax positions comply with applicable tax law and intend to vigorously defend our positions. However, as described below, tax authorities could take differing positions on certain issues.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income tax audits in all jurisdictions in which we operate. The years open for audit vary depending on the tax jurisdiction. In the United States, as of December 31, 2024, we are no longer subject to U.S. federal income tax examinations by tax authorities for years before 2022. In the non-U.S. jurisdictions, the tax returns that are open vary by jurisdiction and are generally for tax years between 2020 through 2025. We routinely assess exposures to any potential issues arising from current or future audits of current and prior years’ tax returns. When assessing such potential exposures and where necessary, we provide a reserve to cover any expected loss. To the extent that we establish a reserve, we increase our provision for income taxes.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tax liability is greater than the original estimate. If the governing tax authorities have a differing interpretation of the applicable law, a successful challenge of any of our tax positions could adversely affect our financial condition, cash flows and/or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Because Vector Capital holds a controlling interest in us, the influence of our public shareholders over significant corporate actions will be limited.</w:t>
      </w:r>
    </w:p>
    <w:p>
      <w:pPr>
        <w:spacing w:after="0" w:line="11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Vector Capital and its affiliates directly or indirectly own approximately 50.1% of our outstanding shares through their ownership of Vector Cambium Holdings (Cayman), L.P., or VCH, L.P. As a result of its controlling interest in us, Vector Capital has the power to:</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all matters submitted to our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two of our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control over our business, policies and affairs.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Vector Capital is not prohibited from selling its interest in us to third parties and has sold and will continue to periodically sell its interest in us under future registration statements that are filed by us. While Vector Capital continues to own a majority of our outstanding shares, our ability to engage in significant transactions, such as a merger, acquisition or liquidation, is limited without the consent of Vector Capital. Conflicts of interest could arise between us and Vector Capital, and any conflict of interest may be resolved in a manner that does not favor us. Vector Capital may continue to retain control of us for the foreseeable future and may decide not to enter into a transaction in which our shareholders would receive consideration for their shares that is much higher than the cost to them or the then-current market price of those shares. In addition, Vector Capital could elect to sell a controlling interest in us and shareholders may receive less than the then-current fair market value or the price paid for their shares. Any decision regarding their ownership of us that Vector Capital may make at some future time will be in their absolute discretion.</w:t>
      </w:r>
    </w:p>
    <w:p>
      <w:pPr>
        <w:spacing w:after="0" w:line="8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pursuant to the terms of our Amended and Restated Memorandum and Articles of Association, Vector Capital and its affiliates have the right to, and have no duty to abstain from, exercising its right to engage or invest in the same or similar business as us, and do business with any of our channel partners, distributors, network operators and any other party with which we do business. In the event that any of our directors or officers who is also a director, officer or employee of Vector Capital or its affiliates acquires knowledge of a corporate opportunity or is offered a corporate opportunity, then Vector Capital or its affiliates may pursue or acquire such corporate opportunity without presenting the corporate opportunity to us without liability, and to the maximum extent permitted by applicable law, such relevant director will be deemed to have fully satisfied their fiduciary duty if the knowledge of such corporate opportunity was not acquired solely in such person’s capacity as our director or officer and such person acted in good faith.</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our Amended and Restated Memorandum and Articles of Association, a director who is in any way interested in a contract or transaction with us will declare the nature of his interest at a meeting of the board of directors. A director may vote in respect of any such contract or transaction notwithstanding that he may be interested therein and if he does so his vote will be counted and he may be counted in the quorum at any meeting of the board of directors at which any such contract or transaction shall come before the meeting of the board of directors for consideration. We have adopted a written audit committee charter, pursuant to which the audit committee must review all related party transactions required to be disclosed in our financial statements and approve any such related party transaction, unless the transaction is approved by another independent committee of our board.</w:t>
      </w:r>
    </w:p>
    <w:p>
      <w:pPr>
        <w:spacing w:after="0" w:line="18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We are a controlled company within the meaning of Nasdaq rules and, although our ordinary shares are no longer listed on Nasdaq, we continue to rely on exemptions from certain corporate governance requirements. In the event that we regain our listing on Nasdaq and become subject to the Nasdaq listing rules again, we may not be able to meet the additional requirements imposed by Nasdaq on non-controlled companies if we lose our controlled company status.</w:t>
      </w:r>
    </w:p>
    <w:p>
      <w:pPr>
        <w:spacing w:after="0" w:line="7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Vector Capital and its affiliates control a majority of the voting power of our outstanding shares and as a result, we are a controlled company within the meaning of the corporate governance standards of the Nasdaq. Although our ordinary shares are no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40"/>
        <w:spacing w:after="0" w:line="282" w:lineRule="auto"/>
        <w:rPr>
          <w:sz w:val="20"/>
          <w:szCs w:val="20"/>
          <w:color w:val="auto"/>
        </w:rPr>
      </w:pPr>
      <w:r>
        <w:rPr>
          <w:rFonts w:ascii="Times New Roman" w:cs="Times New Roman" w:eastAsia="Times New Roman" w:hAnsi="Times New Roman"/>
          <w:sz w:val="18"/>
          <w:szCs w:val="18"/>
          <w:color w:val="auto"/>
        </w:rPr>
        <w:t>longer listed on Nasdaq, under Nasdaq rules, a controlled company may elect not to comply with certain corporate governance requirements of the Nasdaq, including the requirements that:</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be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nominating and corporate governance and compensation committees.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utilizing these exemptions despite not currently being listed on Nasdaq. As our employee equity vests, the percentage ownership of Vector Capital in us decreases. If we regain our listing on Nasdaq and become subject to the Nasdaq listing rules again, and if Vector Capital's interest falls below a majority of our outstanding shares, we would need to have a majority of our board of directors comprised of independent directors, and in addition, although we have adopted charters for our audit and compensation committees, our compensation committee is not currently composed entirely of independent directors and would need to be reconstituted, although all members of our audit committee are independent. We may not be able to make these governance changes within the period required by Nasdaq. While we remain a controlled company, shareholders may not have the same protections afforded to shareholders of companies that are subject to all of the corporate governance requirements of Nasdaq.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price of our shares has been and may continue to be volatile, and shareholders could lose all or part of their investment.</w:t>
      </w:r>
    </w:p>
    <w:p>
      <w:pPr>
        <w:spacing w:after="0" w:line="11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shares may fluctuate substantially. The trading price of our shares will depend on a number of factors, including those described in this “Risk factors” section, many of which are beyond our control and may not be related to our operating performance. These fluctuations could cause shareholders to lose all or part of their investment in our shares since they might be unable to sell their shares at or above the price paid for them. Factors that could cause fluctuations in the trading price of our shares include the following:</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shares by us or our shareholders or hedging activities by market participants;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financial analysts to maintain coverage of us, changes in financial estimates by any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or stock market valuations of other technology companies generally, or those in our industry in particular;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117"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shares, regardless of our actual operating performance.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Our memorandum and articles of association contain anti-takeover provisions that could have a material adverse effect on the rights of holders of our shares.</w:t>
      </w:r>
    </w:p>
    <w:p>
      <w:pPr>
        <w:spacing w:after="0" w:line="5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contain provisions to limit the ability of others to acquire control of our company through non-negotiated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to issue undesignated, or “blank-check,” preferred shares without shareholder approval. As a result, our board of directors could authorize and issue a series of preferred shares with terms calculated to delay or prevent a change in control of our company or make removal of management more difficult, which may not be in the interests of holders of our ordinary shares. In addition, our board is staggered and divided into three classes, with each class subject to re-election once every three years on a rotating basis, special meeting of shareholders may only be called by a specified group of directors, executives or shareholders and shareholders must comply with advance notice provisions in order to bring business before or nominate directors for election at shareholder meetings. As a result, shareholders would be prevented from electing an entirely new board of directors at any annual meeting and the ability of shareholders to change the membership of a majority of our board of directors may be delayed.</w:t>
      </w:r>
    </w:p>
    <w:p>
      <w:pPr>
        <w:spacing w:after="0" w:line="19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Because we are incorporated under Cayman Islands law, shareholders may face difficulties in protecting their interests, and the ability to protect rights through U.S. courts may be limited.</w:t>
      </w:r>
    </w:p>
    <w:p>
      <w:pPr>
        <w:spacing w:after="0" w:line="5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Amended and Restated Memorandum and Articles of Association, the Companies Act (as amended) of the Cayman Islands and the common law of the Cayman Islands. The rights of shareholders to take action against the directors, actions by minority shareholders and the fiduciary responsibilities of our directors to us under Cayman Islands law are governed by the common law of the Cayman Islands and we have adopted an exclusive forum by law that requires certain shareholder litigations regarding such matters to be brought in Cayman Islands Courts. These exclusive forum provisions do not apply to claims under U.S. federal securities laws.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existing articles of association to determine whether or not, and under what conditions, our corporate records may be inspected by our shareholders, but are not obliged to make them available to our shareholders. This may make it more difficult for shareholders to obtain the information needed to establish any facts necessary for a shareholder motion or to solicit proxies from other shareholders in connection with a proxy contest.</w:t>
      </w:r>
    </w:p>
    <w:p>
      <w:pPr>
        <w:spacing w:after="0" w:line="7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addition, the Cayman Islands courts are also unlikely (1) to recognize or enforce against us judgments of courts of the United States based on certain civil liability provisions of U.S. securities laws, or (2) to impose liabilities against us, in original actions brought in the Cayman Islands, based on certain civil liability provisions of U.S. securities laws that are penal in nature. There is no statutory recognition in the Cayman Islands of judgments obtained in the United States, although the courts of the Cayman Islands will in certain circumstances recognize and enforce a foreign judgment of a foreign court of competent jurisdiction without any re-examination of the merits at common law.</w:t>
      </w:r>
    </w:p>
    <w:p>
      <w:pPr>
        <w:spacing w:after="0" w:line="75"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large shareholders than they would as shareholders of a public company incorporated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in the past and could in the future be subject to securities litigation, which is expensive and could divert management attention.</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May 22, 2024, a putative shareholder class action complaint was filed in the United States District Court for the Northern District of Illinois (Hamby v. Cambium Networks Corporation et al, Case No. 1:24-cv-04240) against us and three of our current or former officers. The complaint purported to assert claims under Section 10(b) of the Exchange Act, Exchange Act Rule 10b-5, and Section 20(a) of the Exchange Act, on behalf of persons and entities who acquired our ordinary shares between May 8, 2023, and January 18, 2024, or the Class Period. The complaint alleged that, during the Class Period, the Company and certain of its executive officers made false and misleading statements and failed to disclose material adverse facts about its business, operations, and prospects in violation of Sections 10(b) (and Rule 10b-5 promulgated thereunder) and 20(a) of the Exchange Act. While this complaint was dismissed in December 2024, future litigation of this type could result in substantial costs and diversion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management’s attention and resources, which could have a material adverse effect on our business, financial condition, results of operations and prospects.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adverse determination in litigation could also subject us to significant monetary liabilities.</w:t>
      </w:r>
    </w:p>
    <w:p>
      <w:pPr>
        <w:spacing w:after="0" w:line="20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Our directors may have conflicts of interest because of their ownership of equity interests of, and their employment with, our majority shareholders or its affiliates.</w:t>
      </w:r>
    </w:p>
    <w:p>
      <w:pPr>
        <w:spacing w:after="0" w:line="5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Two of our directors hold ownership interests in Vector Capital as well as ownership in and employment positions with its affiliates. Ownership interests in Vector Capital by our directors could create, or appear to create, potential conflicts of interest when our directors are faced with decisions that could have different implications for us and for Vector Capital or its affiliates. Conflicts of interest may not be resolved in our favor.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manage our growth and expand our operations successfully, our business and operating results will be harmed.</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recent years, we have substantially curtailed our operations to better align our cost structure with our revenues and operating results. These actions may reduce our ability to return to profitable growth, and may result in retention issues and other disruption. To manage our operations effectively, we must increasingly rely on information technology, financial infrastructure, our operating and administrative systems and controls, and our ability to manage headcount, capital and processes in an efficient manner. We may not be able to successfully implement improvements to these systems and processes in a timely or efficient manner, which could result in additional operating inefficiencies and could cause us to experience higher costs than planned. If we are unable to manage operations effectively, our ability to provide high quality products and services could be harmed, which could damage our reputation and brand and may have a material adverse effect on our business, operating results and financial condition.</w:t>
      </w:r>
    </w:p>
    <w:p>
      <w:pPr>
        <w:spacing w:after="0" w:line="18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is subject to the risks of earthquakes, fire, floods and other catastrophic events, and to interruption by manmade problems such as network security breaches, computer viruses, terrorism and war.</w:t>
      </w:r>
    </w:p>
    <w:p>
      <w:pPr>
        <w:spacing w:after="0" w:line="52"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We have substantial operations in Illinois, California, England and India, and our third-party manufacturers are currently predominantly located in Vietnam, Thailand, Taiwan and the Philippines. Operations in some of these areas are susceptible to disruption due to severe weather, seismic activity, political unrest and other factors. For example, a significant natural disaster, such as an earthquake, a fire or a flood, occurring at the facilities of one of our third-party manufacturers could have a material adverse impact on their ability to manufacture and timely deliver our products. Despite the implementation of network security measures, we also may be vulnerable to computer viruses, break-ins and similar disruptions from unauthorized tampering with our solutions. In addition, natural disasters, acts of terrorism or war could cause disruptions in the businesses of our suppliers, manufacturers, network operators or the economy as a whole. To the extent that any such disruptions result in delays or cancellations of orders or impede our ability to timely deliver our products, or the deployment of our products, our business, operating results and financial condition would be adversely affected.</w:t>
      </w:r>
    </w:p>
    <w:p>
      <w:pPr>
        <w:spacing w:after="0" w:line="6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continued threat of terrorism and heightened security and military action in response thereto, or any other current or future acts of terrorism, war (such as the on-going Russia-Ukraine war and the war in the Middle East), and other events (such as economic sanctions and trade restrictions, including those related to the on-going Russia-Ukraine war) may cause further disruptions to the economies of the United States and other countries and create further uncertainties or could otherwise negatively impact our business, operating results, and financial condition. Likewise, events such as loss of infrastructure and utilities services such as energy, transportation, or telecommunications could have similar negative impacts. To the extent that such disruptions or uncertainties result in delays or cancellations of customer orders or the manufacture or shipment of our products, our business, operating results, and financial condition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Information about cybersecurity risks and our risk management processes is collected, analyzed and considered as part of our overall enterprise risk management program. Our cybersecurity program has been built around the National Institute of Standards and Technology (NIST) framework with flexibility to support our product development, deployment, operations, and monitoring. The NIST framework organizes cybersecurity risks into five categories: identify, protect, detect, respond and recover, with an emphasis on prevention, detection and mitigation. We have key Company policies that directly or indirectly relate to cybersecurity matters,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spacing w:after="0" w:line="266" w:lineRule="auto"/>
        <w:rPr>
          <w:sz w:val="20"/>
          <w:szCs w:val="20"/>
          <w:color w:val="auto"/>
        </w:rPr>
      </w:pPr>
      <w:r>
        <w:rPr>
          <w:rFonts w:ascii="Times New Roman" w:cs="Times New Roman" w:eastAsia="Times New Roman" w:hAnsi="Times New Roman"/>
          <w:sz w:val="18"/>
          <w:szCs w:val="18"/>
          <w:color w:val="auto"/>
        </w:rPr>
        <w:t>including policies relating to antivirus protection, remote access, multifactor authentication, restricted access based upon business need and confidentiality of information, as well as procedures designed to reduce phishing, increase employee awareness of phishing attempts and other activities. The key elements of our efforts to identify, prevent, mitigate, and remediate cybersecurity risks and incidents through our cybersecurity risk management program include:</w:t>
      </w:r>
    </w:p>
    <w:p>
      <w:pPr>
        <w:spacing w:after="0" w:line="68" w:lineRule="exact"/>
        <w:rPr>
          <w:sz w:val="20"/>
          <w:szCs w:val="20"/>
          <w:color w:val="auto"/>
        </w:rPr>
      </w:pPr>
    </w:p>
    <w:p>
      <w:pPr>
        <w:ind w:left="1020" w:right="1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and analyze information about cybersecurity risks as part of our risk management program and monitor and discuss public alerts, threat levels, trends and remediation.</w:t>
      </w:r>
    </w:p>
    <w:p>
      <w:pPr>
        <w:spacing w:after="0" w:line="53"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receive periodic cybersecurity training and are exposed to phishing simulations designed to educate concerning the recognition of cybersecurity threats.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various security tools, including internal reporting, monitoring, and bug bounty programs, to identify vulnerabilities in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system updates and patching are done to protect our hardware and software against security vulnerabilities.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simulations, drills, and penetration testing to test our defenses and monitor threat levels, including the periodic performance of simulations and tabletop exercises to test our policies, incorporating external resources and advisors as needed.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controls and procedures in place for prompt escalation of cybersecurity incidents and regularly evaluate and update contingency planning, including plans in the event that a portion of our information resources were to be unavailable due to a cybersecurity incident.</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partner with third-party security consultants to review our incident response process and ensure our programs align with industry standards.</w:t>
      </w:r>
    </w:p>
    <w:p>
      <w:pPr>
        <w:spacing w:after="0" w:line="53"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 the cybersecurity preparedness of key vendors, review any reports on system and organizations controls, before onboarding and monitor their vulnerabilities, including any publicly reported vulnerabilities. This process includes risk assessments, security questionnaires, review of vendor security programs, review of available security assessments, reports, and audits. Depending on the nature of the services provided, the sensitivity of the information systems and data at issue, and the type of provider, our vendor management process may involve different levels of assessment designed to help identify cybersecurity risks associated with a provider and impose contractual obligations related to cybersecurity on the provider.</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cybersecurity risk insurance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prior cybersecurity incidents that have materially affected us, including our operations, business strategy, results of operations, or financial condition, we experience cyber-attacks and other attempts to gain unauthorized access to our systems on a regular basis, and we anticipate continuing to be subject to such attempts. Despite our implementation of security measures, (i) our products and services, and (ii) the servers, data centers, and cloud-based solutions on which our and third-party data is stored, are vulnerable to cyber-attacks, data breaches, malware, and disruptions from unauthorized access, tampering or other theft or misuse, including by employees, malicious actors or inadvertent error. We face certain ongoing risks from cybersecurity threats that, if realized, are reasonably likely to materially affect us, including our operations, business strategy, results of operations, or financial condition. See “Risk Factors -</w:t>
      </w:r>
      <w:r>
        <w:rPr>
          <w:rFonts w:ascii="Times New Roman" w:cs="Times New Roman" w:eastAsia="Times New Roman" w:hAnsi="Times New Roman"/>
          <w:sz w:val="18"/>
          <w:szCs w:val="18"/>
          <w:i w:val="1"/>
          <w:iCs w:val="1"/>
          <w:color w:val="auto"/>
        </w:rPr>
        <w:t>Cyber-attacks, data breaches or malware may disrupt our operations, harm our operating results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damage our reputation or otherwise materially harm our business; and cyber-attacks or data breaches on our customers’ networks, or in cloud-based services provided by or enabled by us, could result in claims of liability against us, damage our reputation or otherwise materially harm our business”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“-Vulnerabilities and critical security defects, prioritization decisions regarding remedying vulnerabilities or security defects, failure of third-party providers to remedy vulnerabilities or security defects, or customers not deploying security releases or deciding not to upgrade products, services or solutions could result in claims of liability against us, damage our reputation, or otherwise materially harm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Cybersecurity risk is part of management's risk oversight, although periodic reports are made to the board of directors of management's implementation and monitoring of our cybersecurity risks programs. Our board of directors addresses our cybersecurity risk management as part of its general oversight function, and the board of directors receives periodic reports from management on the results of our tabletop exercises designed to test our response to cybersecurity and other business interruption situations. Management will update the board, as necessary, regarding any significant cybersecurity incidents should they occur, following the controls and procedures laid out in our business continuity, disaster recovery, data breach and crisis management plans that are designed to ensure prompt escalation of certain cybersecurity incidents, so that decisions regarding public disclosure and reporting of such incidents can be made by management and the board of directors in a timely manner.</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firstLine="509"/>
        <w:spacing w:after="0" w:line="266" w:lineRule="auto"/>
        <w:rPr>
          <w:sz w:val="20"/>
          <w:szCs w:val="20"/>
          <w:color w:val="auto"/>
        </w:rPr>
      </w:pPr>
      <w:r>
        <w:rPr>
          <w:rFonts w:ascii="Times New Roman" w:cs="Times New Roman" w:eastAsia="Times New Roman" w:hAnsi="Times New Roman"/>
          <w:sz w:val="18"/>
          <w:szCs w:val="18"/>
          <w:color w:val="auto"/>
        </w:rPr>
        <w:t>Our cybersecurity team is led by our intellectual technology team, including personnel with substantial experience in protecting the security of our products. Our IT team and risk management reports to our SVP, Product Line Management, and is aided by members of our product development team who advise on any impacted products, legal as required to review notice and other requirements, and other departments as needed.</w:t>
      </w: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3" w:right="5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occupy approximately 37,000 square feet of office space in Hoffman Estates, Illinois under an operating lease agreement where we have corporate and executive functions, research and development, customer support, operations and administration and finance services. In addition to our headquarters in Hoffman Estates, we lease additional space in the United States in San Jose, California. We also lease office and laboratory space in Ashburton, England and Bangalore, India, as well as small office space in various locations globally, including Mexico City, Mexico, Barcelona, Spain, South Africa and Singapore. We believe our facilities are adequate and suitable for our current needs and that should it be needed, suitable additional or alternative space will be available to accommodate our operations.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15. Leases in the Notes to the Consolidated Financial Statements included in Part II, Item 8: “Financial Statements and Supplementary Data”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Third parties may from time to time assert legal claims against 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claims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in the past and may again in the future be subject to securities class action lawsuits asserting claims under Section 10(b) of the Exchange Act, Exchange Act Rule 10b-5, and Section 20(a) of the Exchange Act, on behalf of persons and entities who acquired our ordinary shares during specified class periods and alleging that the Company and/or certain of its executive officers have made false and misleading statements and failed to disclose material adverse facts about our business, operation, and prospects in violation of Sections 10(b) (and Rule 10b-5 promulgated thereunder) and 20(a) of the Exchange Act.</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vigorous protection and pursuit of intellectual property rights. A number of companies hold a large number of patents that may cover technology necessary to our products. We have in the past received and expect to continue to receive claims from third parties that we infringe their intellectual property rights, particularly in the Wi-Fi space. In addition, we may be involved, from time to time,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available information. We develop our views on estimated losses in consultation with inside and outside counsel, which involves a subjective analysis of potential results and outcomes, and following such assessment, record an amount where it is probable that we will incur a loss and where that loss can be reasonably estimated. However, our estimates may be incorrect, and we could ultimately incur more or less than the amounts initially recorded. We are not currently aware of any pending or threatened litigation that would have a material adverse effect on our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ordinary shares were listed on the NASDAQ Global Market under the symbol “CMBM” from June 26, 2019 to March 26, 2026.</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ordinary shares were delisted from Nasdaq on March 27, 2026 and are now traded on the OTC Expert Market tier under the symbol "CMBMF." As a result, public access to bid and ask prices and trading volume information became restricted, and most investors are not able to easily trade our ordinary shares during this period. Despite these developments, our ordinary shares remain tradable, with pricing information accessible to brokers and market makers. We are actively working to complete and file all required periodic reports to regain compliance with our Exchange Act reporting obligations. We have appealed the Nasdaq determination to delist our ordinary shares, and the appeal is unsuccessful, we intend to reapply for listing on Nasdaq as soon as we become current in our SEC filings. The last reported sale price of our ordinary shares on the OTC Expert Market on April 25, 2026 was [$0.13].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Deficiency notice disclosure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failed to hold an annual general meeting of shareholders during 2025, as required by Nasdaq Listing Rule 5620(a), which </w:t>
      </w:r>
      <w:r>
        <w:rPr>
          <w:rFonts w:ascii="Times New Roman" w:cs="Times New Roman" w:eastAsia="Times New Roman" w:hAnsi="Times New Roman"/>
          <w:sz w:val="18"/>
          <w:szCs w:val="18"/>
          <w:color w:val="0A0A0A"/>
        </w:rPr>
        <w:t>requires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listed companies to hold an annual shareholder meeting within one year of the end of their fiscal year. We expect to hold an annual general meeting of shareholders during June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April 25, 2026, there were [115] shareholders of record of our ordinary shares. Because many of our shares are held by brokers and other institutions on behalf of shareholders, we are unable to estimate the total number of shareholders represented by these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Initial Public Offering of 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not declared or paid dividends on our ordinary shares since our IPO. Neither Cayman Islands law nor our Amended and Restated Memorandum and Articles of Association requires our board of directors to declare dividends on our ordinary shares. Any future determination to declare cash dividends on our ordinary shares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ordinary shares for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the securities authorized for issuance under our equity compensation plans for the year ended December 31, 2025 is included in Part III, Items 10 through 14 included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was prepared to provide the reader with a view and perspective of our business through the eyes of management and should be read in conjunction with the consolidated financial statements and related notes thereto of Cambium Networks Corporation (“Cambium”, “we”, “our”, or “us”) included elsewhere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those discussed under Part I, Item 1A. “Risk Factors.”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Cambium Networks is a global technology company that designs, develops, and manufactures fixed wireless and PON/XGSPON based broadband, Wi-Fi, and local area networking ("LAN") switching infrastructure, and security gateway solutions for a wide range of applications, including broadband access, wireless backhaul, Internet of Things (IoT), public safety communications, and Wi-Fi access. Our products enable service providers, enterprises, industrial organizations, and governments to deliver exceptional digital experiences and device connectivity, with compelling economics. Our ONE network platform simplifies the management of Cambium Networks' wired and wireless technologies. Our product lines fall into three broad, interrelated categories: Fixed Wireless and fiber Broadband ("FWB"), Enterprise networking, and Subscription and Services.</w:t>
      </w:r>
    </w:p>
    <w:p>
      <w:pPr>
        <w:spacing w:after="0" w:line="79"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FWB portfolio spans point-to-point ("PTP") and point-to-multi-point ("PMP") architectures over multiple standards, and frequency bands, including licensed, unlicensed, and lightly licensed spectrum, and fiber products. During 2024, both our ePMP 4600 and PMP 450v platforms received Federal Communications Commission ("FCC") approval to operate in the recently released 6 GHz band in conjunction with our approved Automated Frequency Coordination ("AFC") service.</w:t>
      </w:r>
    </w:p>
    <w:p>
      <w:pPr>
        <w:spacing w:after="0" w:line="72"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The Enterprise portfolio includes a complete range of indoor and outdoor Wi-Fi access points, indoor and hardened copper and optical-based Ethernet switches, and security gateway and software-defined wide area network ("SD-WAN") devices. During 2024, we introduced our first Wi-Fi 7 access point, the X7-35X, which was supplemented by the X7-53X and X7-55X in September 2025. These three Wi-Fi 7 access points will be complemented with a broad range of indoor and outdoor Wi-Fi 7 solutions as the industry transition to Wi-Fi 7 occurs.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Subscription and Services portfolio includes network planning and design, and cloud or on-premises network management and control solutions. The latter capability, delivered through subscription to cnMaestro™ X, forms the foundation of our ONE Network, a cloud-based network management architecture that allows users to remotely configure, monitor, and manage their wired and wireless networks. It provides a single, centralized view of all Cambium Network devices, and real-time performance and usage data, allowing users to control and optimize network configuration and settings. Advanced services offered in conjunction with this platform include application visibility and control, which is used to optimize end-user experiences; and "Assurance" which allows network administrators the ability to rapidly troubleshoot network issues using AI-powered root cause analysis with proactive resolution, ensuring service level agreements are met and preventing client impact. The Network Service Edge ("NSE"), an integrated security gateway and SD-WAN service for small and medium businesses, may also be associated with a subscription for network security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our business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Macroeconomic factors such as higher interest rates and inflationary pressures, which impact private sector capital investment, and concerns about a global economic slowdown and geopolitical conditions added to the softened demand for our products and services that we experienced over 2023 and</w:t>
      </w:r>
    </w:p>
    <w:p>
      <w:pPr>
        <w:spacing w:after="0" w:line="252" w:lineRule="auto"/>
        <w:rPr>
          <w:sz w:val="20"/>
          <w:szCs w:val="20"/>
          <w:color w:val="auto"/>
        </w:rPr>
      </w:pPr>
      <w:r>
        <w:rPr>
          <w:rFonts w:ascii="Times New Roman" w:cs="Times New Roman" w:eastAsia="Times New Roman" w:hAnsi="Times New Roman"/>
          <w:sz w:val="18"/>
          <w:szCs w:val="18"/>
          <w:color w:val="auto"/>
        </w:rPr>
        <w:t>2024 coming out of the pandemic, and increased our cost of revenues and impacted, and may continue to impact, our gross margin. We continue to see a high level of competition in our industry due to slower demand and aggressive pricing. We also see increased competition and pricing pressure from new competitors such as Starlink significantly driving down global connectivity prices, with satellite bandwidth costs dropping roughly 77% over the last five years due to its rapid constellation deployment and lower manufacturer costs. We have also seen increased competition from mobile network operators who are using excess capacity in their mobile network to address fixed wireless broadband needs, and from original design manufacturers who are trying to increase their market share by selling directly to major telecommunications providers. We believe that these market pressures will continue to negatively impact revenues and gross margins for the foreseeable future. We may continue to face risks of</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technology shifts that could result in inventory becoming obsolete before it is deployed, including as the industry continues its shift to Wi-Fi 7.</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also impacted by the increases in the prices of memory chips from our semiconductor suppliers. Prices for memory chips have increased rapidly for newer generations of memory, which has had an impact on the supply of current memory, impacting components for both Wi-Fi 7 and Wi-Fi 6. We expect this to continue for the foreseeable future due to the scaling of AI data centers.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spent 2025 moving production of select products from a third-party manufacturer in Mexico to a third-party manufacturer in Thailand. The move has been challenged by logistic and production issues due to the complexity of the impacted products as well as challenges present when utilizing a new manufacturer. While the majority of impacted products are in production, issues of scale, yield and supply chain continue to limit our ability to meet customer demand, and this may continue into 2026.</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continue to monitor the impact of macroeconomic factors, including a potential global recession, inflationary pressures, monetary policy shifts, trade wars and growing political tensions globally that continue to impact our industry and our business. We also believe that our customers continue to grapple with the impact of these macroeconomic factors on their businesses and future investment plans, leading to business uncertainty and a more constrained approach to forecasts and orders, and decreasing visibility into customer demand. Any prolonged economic disruptions, continued uncertainty over global trade wars, as well as further deterioration in the global economy or outbreaks of international hostilities, could have a negative impact on demand from our customers in future periods.</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impact of reverse globalization, including a more nationalistic trend globally leading to increasing government requirements for domestically produced products or limiting the sourcing of components and other products from China and elsewhere, has led us to limit our reliance on third-party manufacturers in China and move manufacturing to other locations, particularly Thailand, which has caused some disruptions in our supply operations, together with the impact of moving manufacture of some products to suppliers who have no recent experience building similar products. Nationalistic trends are occurring in various geographies, which may make it impractical for us to do business in some countries.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Default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continue to be out of compliance with financial and other covenants under our Amended Credit Agreement, and such defaults continued through 2025 and are expected to continue into 2026. In addition, we ceased payment of required quarterly principal and periodic interest on the term loan facility and of quarterly interest on the revolving credit facility as of June 2025. Such defaults afford the lender the right to declare the amounts outstanding immediately due and payable. We continue to have regular discussions with the lender and we have not been able to obtain a waiver of the defaults from the lender or otherwise refinance the indebtedness. If the lender were to accelerate the maturity and declare the full outstanding principal and interest immediately due and payable, we would not be able to repay the debt, and therefore, there is substantial uncertainty we would be able to continue as a going concern. Absent acceleration, our Amended Credit Agreement matures on November 17, 2026. Absent an infusion of capital from financing or divestiture, we will be unable to repay this indebtedness when it comes due. Refer to Note 6. Debt, to our consolidated financial statements of this Annual Report on Form 10-K for additional information.</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continue to take actions to improve our profitability, focus on operating efficiency and reducing discretionary spending, deferring capital expenditures and implementing cost reductions to align our cost structure with current and expected revenue levels. We are actively seeking additional capital through possible divestitures and/or capital raising transactions and working on accommodation with our lenders to provide us with the financial flexibility needed to meet our obligations as they come due over the next twelve months. Our ability to achieve these objectives depends in part on our expectations regarding macro-conditions in the markets in which we compete, customer acceptance and purchases of our products, buying decisions by our distributors, improvements in our manufacturing challenges with transition to new manufacturers, and other factors that are not all within our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revenues are generated primarily from the sale of hardware products with essential embedded software. Our revenues also include amounts for software products, extended warranty on hardware products and subscription services. We generally recognize product revenues at the time of shipment, provided that all other revenue recognition criteria have been met and we measure revenue based on the consideration to which we expect to be entitled to based on customer contracts. We recognize subscription services revenue ratably over the term in which the services are provided and our performance obligation is satisfied. Revenues are adjusted for variable consideration amounts, including but not limited to estimated stock returns, customer incentives, and cooperative marketing allowances that we provide to distributors. We provide a standard warranty on our hardware products, with the term depending on the product, and record a liability for the estimated future costs associated with potential warranty claims. In addition, we also offer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0" w:name="page51"/>
    <w:bookmarkEnd w:id="50"/>
    <w:p>
      <w:pPr>
        <w:ind w:right="420"/>
        <w:spacing w:after="0" w:line="282" w:lineRule="auto"/>
        <w:rPr>
          <w:sz w:val="20"/>
          <w:szCs w:val="20"/>
          <w:color w:val="auto"/>
        </w:rPr>
      </w:pPr>
      <w:r>
        <w:rPr>
          <w:rFonts w:ascii="Times New Roman" w:cs="Times New Roman" w:eastAsia="Times New Roman" w:hAnsi="Times New Roman"/>
          <w:sz w:val="18"/>
          <w:szCs w:val="18"/>
          <w:color w:val="auto"/>
        </w:rPr>
        <w:t>extended warranties for purchase that represents a future performance obligation for us. The extended warranty is included in deferred revenues and is recognized on a straight-line basis over the term of the extended warranty.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cost of revenues is comprised primarily of the costs of procuring finished goods from our third-party manufacturers, third-party logistics and warehousing provider costs, freight costs, and warranty costs. We outsource our manufacturing to third-party manufacturers located primarily in Thailand, Vietnam, Philippines, and Taiwan. Cost of revenues also includes costs associated with supply operations, including personnel and related allocated overhead costs, provision for excess and obsolete inventory, loss on supplier commitment expense, third-party license costs and third-party costs related to services we provide. Cost of revenues also includes amortization of capitalized software costs associated with products to be sold, and charges for excess and obsolescence and losses on supplier commitments.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Gross profit has been and will continue to be affected by various factors, including changes in product mix. The margin profile of products within each of our core product categories can vary significantly depending on the operating performance, features and manufacturer of the product. Generally, our gross margins on backhaul and fixed wireless access point products are greater than those on our CPE products. Because the ratio of CPE to PTP and PMP access points typically increases as network operators build out the density of their networks, increases in follow-on sales to network operators as a percentage of our total sales generally have a downward effect on our overall gross margins. Finally, gross margin will also vary as a function of changes in pricing due to competitive pressure, our third-party manufacturing and other production costs, cost of shipping and logistics, provision for excess and obsolete inventory, loss on supplier commitments, and other factors. We expect our gross margins will fluctuate from period to period depending on the interplay of these various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classify our operating expense as research and development, sales and marketing, and general and administrative expense. Personnel costs are the primary component of each of these operating expense categories, which consist of costs such as salaries, sales commissions, benefits, and bonuses, as well as share-based compensation expense. Depreciation and amortization of long-lived assets is separately disclosed in the statements of operations. In 2024, we recorded impairment of goodwill, intangibles and long-lived assets and this is separately disclosed in the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to personnel costs, research and development expense consists of costs associated with the design and development of our products, product certification, travel, recruiting, shared facility and shared IT costs. We generally recognize research and development expense as incurred. For certain of our software projects under development, we capitalize the development cost during the period between determining technological feasibility of the product and commercial release. We amortize the capitalized development cost upon commercial release, generally over three years, and include the amortization costs in cost of revenues on our statements of operations. We typically do not capitalize costs related to the development of first-generation product offerings as technological feasibility generally coincides with general availability of the software.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addition to personnel costs for sales, marketing, service and product line management personnel, sales and marketing expense consists of our training programs, trade shows, marketing programs, promotional materials, demonstration equipment, national and local regulatory approval on our products, travel and entertainment, recruiting and shared facility and shared IT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In addition to personnel costs, general and administrative expense consists of professional fees, such as legal, audit, accounting, information technology and consulting costs, insurance, shared facility and shared IT costs, and other supporting overhead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 of depreciation related to fixed assets such as computer equipment, furniture and fixtures, and testing equipment, as well as amortization related to acquired and internal use software and definite lived intangibles.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Impairment expense consists of amounts recorded to impair our goodwill, customer relationship intangible, software and long-lived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taxes consists primarily of income taxes in the jurisdictions in which we conduct business. Management assesses our deferred tax assets in each reporting period, and if it is determined that it is not more likely than not to be realized, we will record a valuation allowance in that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consolidated statements of operations, as well as the percentage relationship to total revenues for items included in our consolidated statements of operations for the year ended December 31, 2024 compared to the year ended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Borders>
              <w:bottom w:val="single" w:sz="8" w:color="auto"/>
            </w:tcBorders>
            <w:vMerge w:val="continue"/>
          </w:tcPr>
          <w:p>
            <w:pPr>
              <w:spacing w:after="0"/>
              <w:rPr>
                <w:sz w:val="12"/>
                <w:szCs w:val="12"/>
                <w:color w:val="auto"/>
              </w:rPr>
            </w:pPr>
          </w:p>
        </w:tc>
        <w:tc>
          <w:tcPr>
            <w:tcW w:w="3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72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157,805</w:t>
            </w:r>
          </w:p>
        </w:tc>
        <w:tc>
          <w:tcPr>
            <w:tcW w:w="28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3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19,481</w:t>
            </w: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177,286</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106,147</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3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114,355</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51,658</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3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62,931</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36,719</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133,342</w:t>
            </w: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(70,411)</w:t>
            </w:r>
          </w:p>
        </w:tc>
        <w:tc>
          <w:tcPr>
            <w:tcW w:w="6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(76,306)</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(36,990)</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(1,854)</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340" w:type="dxa"/>
            <w:vAlign w:val="bottom"/>
            <w:tcBorders>
              <w:bottom w:val="single" w:sz="8" w:color="CFF0FC"/>
            </w:tcBorders>
            <w:gridSpan w:val="2"/>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(74,452)</w:t>
            </w:r>
          </w:p>
        </w:tc>
        <w:tc>
          <w:tcPr>
            <w:tcW w:w="2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(38,538)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080" w:type="dxa"/>
            <w:vAlign w:val="bottom"/>
          </w:tcPr>
          <w:p>
            <w:pPr>
              <w:spacing w:after="0"/>
              <w:rPr>
                <w:sz w:val="24"/>
                <w:szCs w:val="24"/>
                <w:color w:val="auto"/>
              </w:rPr>
            </w:pPr>
          </w:p>
        </w:tc>
        <w:tc>
          <w:tcPr>
            <w:tcW w:w="31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-4036695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-4036695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-3470910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-3470910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-2905125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-2905125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-1782445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-1782445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-934085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-916940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-934085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-916940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Revenues:</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9"/>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shd w:val="clear" w:color="auto" w:fill="CFF0FC"/>
          </w:tcPr>
          <w:p>
            <w:pPr>
              <w:spacing w:after="0"/>
              <w:rPr>
                <w:sz w:val="21"/>
                <w:szCs w:val="21"/>
                <w:color w:val="auto"/>
              </w:rPr>
            </w:pPr>
          </w:p>
        </w:tc>
        <w:tc>
          <w:tcPr>
            <w:tcW w:w="92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588"/>
        </w:trPr>
        <w:tc>
          <w:tcPr>
            <w:tcW w:w="676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2024 to the year ended December 31, 2025</w:t>
            </w: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157,805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141,277</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(16,528)</w:t>
            </w: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(1,113)</w:t>
            </w:r>
          </w:p>
        </w:tc>
        <w:tc>
          <w:tcPr>
            <w:tcW w:w="4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-4348480</wp:posOffset>
            </wp:positionV>
            <wp:extent cx="146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-4348480</wp:posOffset>
            </wp:positionV>
            <wp:extent cx="145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-3782695</wp:posOffset>
            </wp:positionV>
            <wp:extent cx="1460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-3782695</wp:posOffset>
            </wp:positionV>
            <wp:extent cx="1454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-3216910</wp:posOffset>
            </wp:positionV>
            <wp:extent cx="1460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-3216910</wp:posOffset>
            </wp:positionV>
            <wp:extent cx="1454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-2094230</wp:posOffset>
            </wp:positionV>
            <wp:extent cx="1460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-2094230</wp:posOffset>
            </wp:positionV>
            <wp:extent cx="1454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-1245235</wp:posOffset>
            </wp:positionV>
            <wp:extent cx="1460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-1228090</wp:posOffset>
            </wp:positionV>
            <wp:extent cx="1460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-1245235</wp:posOffset>
            </wp:positionV>
            <wp:extent cx="1454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-1228090</wp:posOffset>
            </wp:positionV>
            <wp:extent cx="1454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Product revenues decreased $16.5 million, or 10.5%, from $157.8 million in 2024 to $141.3 million in 2025. The decrease was primarily due to our point-to-multi-point product category partially as a result of lower demand for ePMP, 28 GHz and 60 GHz products, but also due to limitations on our ability to meet customer demand as a result of issues of scale, yield and supply experienced following our transition from our Mexico manufacturer to a manufacturer in Thailand. Revenues also decreased in our point-to-point product category partially as a result of lower demand for PTP accessories and impacts from moving manufacturing of certain products noted above, partially offset by higher demand for defense products in Europe, Middle East, Africa. Revenues increased in our enterprise product category driven by increased demand for switching products and Wi-Fi 7.</w:t>
      </w:r>
    </w:p>
    <w:p>
      <w:pPr>
        <w:spacing w:after="0" w:line="7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Subscriptions and services revenues decreased $1.1 million, or 5.7%, from $19.5 million in 2024 to $18.4 million in 2025. The decrease was primarily due to lower services revenue partially offset by increased volume of software subscriptions on enterprise products.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Revenues by product category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Point-to-Multi-Point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73,469</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59,664</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(13,805)</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Point-to-Point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(5,089)</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Enterprise</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 by product category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177,286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159,645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(17,641)</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Point-to-Multi-Point</w:t>
      </w:r>
    </w:p>
    <w:p>
      <w:pPr>
        <w:spacing w:after="0" w:line="11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PMP revenues decreased $13.8 million, or 18.8%, from 2024 to 2025. PMP revenues decreased in all regions except the Caribbean and Latin America regions, driven by decreased demand from our service providers for our 28 GHz and ePMP products and the limitations on our ability to meet customer demand following our transition from our Mexico manufacturer to a manufacturer in Thailand.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Point-to-Point</w:t>
      </w:r>
    </w:p>
    <w:p>
      <w:pPr>
        <w:spacing w:after="0" w:line="11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PTP revenues decreased $5.1 million, or 10.6%, from 2024 to 2025. PTP revenues decreased across all regions, with the larges decrease in North America. The decrease is mostly driven by lower demand for PTP accessories and the limitations on our ability to meet customer demand following our transition from our Mexico manufacturer to a manufacturer in Thailand.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Enterprise revenues increased $2.9 million, or 5.7%, from 2024 to 2025, with the largest increase in North America. The increase is mostly driven by higher demand for switching products and Wi-Fi 7 products, partially offset by lower demand for Wi-Fi 5 products.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Other revenues decreased $1.6 million, or 30.6%, from 2024 to 2025, with the larges decreases in North America and Europe, Middle East, Africa, due to lower services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86,914</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76,041</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(10,873)</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 Middle East, Africa</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(5,469)</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 by geography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177,286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159,645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(17,641)</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4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Revenues decreased in 2025 compared to 2024, with the largest decrease in North America. All regions were impacted by the move of the manufacturing of certain products from Mexico to Thailand. In addition to the impact of the move, the decrease in PMP and PTP revenues in North America was related to lower demand across all products within these categories, partially offset by increased enterprise product revenues driven by higher demand for switching and Wi-Fi 7 products. Revenues in Europe, Middle East, Africa decreased year-over-year, mostly from decreased PMP and enterprise product revenues, mostly offset by increased PTP product category revenues driven by increased demand for defense products. Revenues in Caribbean and Latin America decreased year-over-year, mostly from decreased PMP and PTP revenues due to lower demand spread across all products within these categories. The decrease in revenues in Asia Pacific was driven by decreased revenues in PMP and PTP, mostly offset by increased revenues in enterprise products with higher demand for Wi-Fi 6 and switching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5"/>
                <w:szCs w:val="15"/>
                <w:color w:val="auto"/>
              </w:rPr>
            </w:pPr>
          </w:p>
        </w:tc>
        <w:tc>
          <w:tcPr>
            <w:tcW w:w="14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106,147</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86,307</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(19,840)</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 bps</w:t>
            </w:r>
          </w:p>
        </w:tc>
        <w:tc>
          <w:tcPr>
            <w:tcW w:w="0" w:type="dxa"/>
            <w:vAlign w:val="bottom"/>
          </w:tcPr>
          <w:p>
            <w:pPr>
              <w:spacing w:after="0"/>
              <w:rPr>
                <w:sz w:val="1"/>
                <w:szCs w:val="1"/>
                <w:color w:val="auto"/>
              </w:rPr>
            </w:pPr>
          </w:p>
        </w:tc>
      </w:tr>
      <w:tr>
        <w:trPr>
          <w:trHeight w:val="103"/>
        </w:trPr>
        <w:tc>
          <w:tcPr>
            <w:tcW w:w="5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 bps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Cost of revenues for products decreased $19.8 million, or 18.7%, from $106.1 million for 2024 to $86.3 million for 2025. The decrease in cost of revenues was primarily due to $13.2 million lower loss on supplier commitment expense, $4.3 million lower excess and obsolescence, along with decreased revenues resulting in lower direct materials costs and lower freight and duty costs. These costs are partially offset by nonrecurring expenses related to the move of manufacturing from Mexico to Thailand and restructuring activities.</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for subscriptions and services increased $1.0 million, or 11.7%, from $8.2 million for 2024 to $9.2 million for 2025. The increase in cost of revenues was primarily due to increased direct services costs.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Gross margin for products increased from 32.7% in 2024 to 38.9% in 2025. The increase mostly reflects the impact of the above mentioned decreases in excess and obsolescence reserve and loss on supplier commitments offset by lower revenues from higher margin products.</w:t>
      </w:r>
    </w:p>
    <w:p>
      <w:pPr>
        <w:spacing w:after="0" w:line="54"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Gross margin for subscriptions and services decreased from 57.9% in 2024 to 50.1% in 2025. The decrease mostly reflects the impact from decreased services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(5,533)</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(4,320)</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(25,343)</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133,342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(41,208)</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decreased $6.4 million, or 16.4%, from $39.3 million in 2024 to $32.9 million in 2025. Research and development expense decreased mainly due to $3.6 million lower employee-related expense, mostly due to decreased headcount from the reductions completed in 2025, $1.2 million lower share-based compensation expense due to no new awards in 2025 along with suspension of ESPP, $0.9 million lower outside contractor spend and $0.3 million lower engineering material spend due to fewer projects, $0.5 million lower homologation and regulatory spend due to the timing and number of projects, $0.5 million lower lease expense and $0.5 million higher capitalized software costs, offset by $0.8 million lower research and development tax credit due to lower headcount and fewer project qualifying for the credit and $0.2 million higher travel-related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Sales and marketing expense decreased $5.5 million, or 15.1%, from $36.7 million in 2024 to $31.2 million in 2025. The decrease in sales and marketing expense was primarily due to $3.1 million lower employee-related expense, mostly due to decreased headcount from the reductions completed in 2025, $1.7 million lower variable compensation expense, $0.9 million lower share-based compensation expense due no new awards in 2025 along with lower headcount and suspension of ESPP, $0.3 million lower travel-related spend, partially offset by $0.5 million higher restructuring costs related to the 2025 restructurings.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$0.4 million, or 1.6%, from $26.0 million in 2024 to $26.4 million in 2025. The increase in general and administrative expense was primarily due to $2.1 increase in outside contractor spend due to employee attrition and additional staff added for restatement, $2.2 million higher legal fees and $1.3 million higher audit fees due to audit overrun and restatement, partially offset by $1.5 million lower staff-related expenses due to employee attrition and $0.4 million lower nonrecurring costs related to the Chief Executive Officer transition that did not repeat in 2025, $1.3 million lower share-based compensation expense due to lower headcount, no new awards in 2025 and suspension of ESPP, $0.9 million lower bad debt expense, $0.4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5" w:name="page56"/>
    <w:bookmarkEnd w:id="55"/>
    <w:p>
      <w:pPr>
        <w:ind w:right="380"/>
        <w:spacing w:after="0" w:line="282" w:lineRule="auto"/>
        <w:rPr>
          <w:sz w:val="20"/>
          <w:szCs w:val="20"/>
          <w:color w:val="auto"/>
        </w:rPr>
      </w:pPr>
      <w:r>
        <w:rPr>
          <w:rFonts w:ascii="Times New Roman" w:cs="Times New Roman" w:eastAsia="Times New Roman" w:hAnsi="Times New Roman"/>
          <w:sz w:val="18"/>
          <w:szCs w:val="18"/>
          <w:color w:val="auto"/>
        </w:rPr>
        <w:t>lower other fees and expenses, $0.3 million lower insurance costs, $0.3 million lower nonrecurring expenses related to the headquarters office move in 2024 and restructuring in 2024 and $0.1 million lower travel-related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$4.3 million, or 74.7%, from $5.8 million in 2024 to $1.5 million in 2025. The decrease in depreciation and amortization was mostly driven by a reduction of depreciation and amortization as a result of the impairment on property and equipment and customer relationships intangible recorded during the third quarter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incurred a $25.5 million impairment charge in 2024, and $0.2 million charge in 2025, associated with the impairment of our property and equipment, goodwill, customer relationships intangible, internal use software, and software marketed for external sale. Refer to the Note 3. Property and equipment, Note 4. Software and Note 5. Goodwill and intangible assets in our consolidated financial statements included in this Annual Report on Form 10-K for details regarding the impairments recorded.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740" w:type="dxa"/>
            <w:vAlign w:val="bottom"/>
          </w:tcPr>
          <w:p>
            <w:pPr>
              <w:jc w:val="right"/>
              <w:ind w:right="58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5,843</w:t>
            </w:r>
          </w:p>
        </w:tc>
        <w:tc>
          <w:tcPr>
            <w:tcW w:w="240" w:type="dxa"/>
            <w:vAlign w:val="bottom"/>
          </w:tcPr>
          <w:p>
            <w:pPr>
              <w:spacing w:after="0"/>
              <w:rPr>
                <w:sz w:val="19"/>
                <w:szCs w:val="19"/>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9,020</w:t>
            </w:r>
          </w:p>
        </w:tc>
        <w:tc>
          <w:tcPr>
            <w:tcW w:w="240" w:type="dxa"/>
            <w:vAlign w:val="bottom"/>
          </w:tcPr>
          <w:p>
            <w:pPr>
              <w:spacing w:after="0"/>
              <w:rPr>
                <w:sz w:val="19"/>
                <w:szCs w:val="19"/>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Interest expense increased $3.2 million, or 54.4%, from $5.8 million in 2024 to $9.0 million in 2025. The increase was primarily due to interest expense incurred as a result of drawing $45.0 million against the revolving credit facility, mostly in the first quarter of 2024 and an increase in the interest rate on the term loan due to the covenant default in the third quarter of 2024 along with lower interest income on lower cash balances. This increase was partially offset by $0.6 million of fees expensed in 2024 related to an aborted amendment to our secured credit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15"/>
                <w:szCs w:val="15"/>
                <w:color w:val="auto"/>
              </w:rPr>
            </w:pPr>
          </w:p>
        </w:tc>
        <w:tc>
          <w:tcPr>
            <w:tcW w:w="232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Pr>
          <w:p>
            <w:pPr>
              <w:spacing w:after="0"/>
              <w:rPr>
                <w:sz w:val="19"/>
                <w:szCs w:val="19"/>
                <w:color w:val="auto"/>
              </w:rPr>
            </w:pP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9"/>
                <w:szCs w:val="19"/>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remained mostly flat from 2024 to 2025. The change is primarily associated with foreign currency fluctuations.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vMerge w:val="restart"/>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1,548</w:t>
            </w:r>
          </w:p>
        </w:tc>
        <w:tc>
          <w:tcPr>
            <w:tcW w:w="3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recorded income tax benefit of $1.9 million and a provision for income taxes of $1.5 million for the years ended December 31, 2024 and 2025, with an income tax rate of 2.4% and (4.2)%, respectively. For the year ended December 31, 2024, the Company's effective tax rate of 2.4% differed from the U.S. statutory rate of 21.0% primarily due to a pretax loss, the net increase in the valuation allowance of $12.3 million, a foreign tax rate differential of $(2.5) million, $2.7 million return to provision adjustment primarily due to a tax method change in the U.S. 2023 tax return related to the tax capitalization of our research and development expenditures, $1.5 million for establishment of a deferred tax liability for withholding tax on non-permanent investment in subsidiaries, a $1.2 million tax expense related to share-based compensation, and a benefit on research and development credits of $(0.3) million. For the year ended December 31, 2025, the Company's effective tax rate of (4.2)% differed from the U.S. statutory rate of 21.0% primarily due to a pretax loss, the net increase in the valuation allowance of $9.5 million, a foreign tax rate differential of ($1.5) million, a $0.9 million tax expense related to share-based compensation, and a benefit on research and development credits of $0.5 million. See Note 12. Income taxes in the Notes to the consolidated financial statements for more information related to income taxes.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had a cash balance of $11.3 million, a decrease of $23.6 million from December 31, 2024. We drew $45.0 million on our revolving credit facility in the first half of 2024 for working capital needs mainly to: (i) fund normal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20"/>
        <w:spacing w:after="0" w:line="254" w:lineRule="auto"/>
        <w:rPr>
          <w:sz w:val="20"/>
          <w:szCs w:val="20"/>
          <w:color w:val="auto"/>
        </w:rPr>
      </w:pPr>
      <w:r>
        <w:rPr>
          <w:rFonts w:ascii="Times New Roman" w:cs="Times New Roman" w:eastAsia="Times New Roman" w:hAnsi="Times New Roman"/>
          <w:sz w:val="18"/>
          <w:szCs w:val="18"/>
          <w:color w:val="auto"/>
        </w:rPr>
        <w:t>operating expenses; (ii) meet interest and principal requirements of our outstanding indebtedness; and (iii) fund capital expenditures. Following this draw down, we have no remaining available liquidity under our revolving credit facility. Our future capital requirements may vary materially from those currently planned and will depend on many factors, including our rate of revenue growth, the timing and extent of spending to support development efforts, the timing of new product introductions, market acceptance of our products and overall economic conditions. We continue to focus on cost management, operating efficiency and efficient discretionary spending. We expect to regularly assess our liquidity needs and market conditions and may seek alternative sources of financing if and when our board of directors determines that doing so is in our best interest. As noted below, our Amended Credit Agreement with Bank of America matures on November 17, 2026. Absent an infusion of capital from financing or divestiture, we will be unable to repay this indebtedness when it becomes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17, 2021, we established a new credit facility (the "Credit Agreement") with Bank of America N.A., as Administrative Agent, a Lender, Swingline Lender and an L/C Issuer and the other Lenders party thereto from time to time ("Bank of America"). The Credit Agreement allows for total borrowings of $75.0 million, which includes a $30.0 million term credit facility and a revolving credit facility of $45.0 million. On November 17, 2021, we borrowed the entire $30.0 million term loan.</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December 29, 2023, we entered into the Second Amendment to our Credit Agreement (the "Second Amendment"), which amended the Credit Agreement (the Credit Agreement as amended prior to the date of the Second Amendment, the "Existing Credit Agreement", and the Existing Credit Agreement, as amended by the Second Amendment, the "Amended Credit Agreement"). The Second Amendment amended the Existing Credit Agreement by, among other things, establishing a covenant relief period which began on December 31, 2023 and ended on November 30, 2024 ("Covenant Relief Period") during which time we were required to (a) maintain certain Liquidity as provided in the Amended Credit Agreement, (b) maintain certain levels of Consolidated EBITDA as provided in the Amended Credit Agreement, and (c) provide certain additional financial reporting. In addition, we were no longer required to meet (or, during such period, test) our Consolidated Leverage Ratio or Consolidated Fixed Charge Coverage Ratio. The Second Amendment also provided that, during the Covenant Relief Period, (x) the Applicable Rate of interest being incurred on any outstanding Loans is increased to 3.25% per annum for Term SOFR Loans and 2.25% per annum for Base Rate Loans, (y) the commitment fee for undrawn commitments is increased to 0.35% and</w:t>
      </w:r>
    </w:p>
    <w:p>
      <w:pPr>
        <w:spacing w:after="0" w:line="6" w:lineRule="exact"/>
        <w:rPr>
          <w:sz w:val="20"/>
          <w:szCs w:val="20"/>
          <w:color w:val="auto"/>
        </w:rPr>
      </w:pPr>
    </w:p>
    <w:p>
      <w:pPr>
        <w:ind w:right="160" w:firstLine="8"/>
        <w:spacing w:after="0" w:line="260"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Loan Parties to make certain Investments, Dispositions and Restricted Payments, in each case, is limited as more fully set forth in the Amended Credit Agreement.</w:t>
      </w:r>
    </w:p>
    <w:p>
      <w:pPr>
        <w:spacing w:after="0" w:line="7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$21.5 million outstanding principal debt under our term loan facility and $45.0 million outstanding on our revolving credit facility. There is no availability remaining on the revolving credit facility. The effective interest rate on the term credit facility at December 31, 2025 was 9.45% and the weighted-average interest rate on our revolving credit facility was 9.23%. These rates do not include an additional 2% default rate penalty that was added on both the term credit facility and revolving credit facilities as a result of the events of default that first occurred during the third quarter of 2024. We are required to make quarterly principal payments of $0.7 million under the term credit facility and quarterly interest payments under both the term loan facility and the revolving credit facility. For the year ended December 31, 2024, all quarterly principal and interest payments were made in accordance with the terms of the Amended Credit Agreement. Beginning with the quarter ended June 30, 2025, we ceased making principal and interest payments on the term loan and interest payments on the revolving credit facility.</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were not in compliance with our quarterly fixed charge coverage ratio or consolidated leverage ratio covenants as of December 31, 2024 and December 31, 2025. In addition, since we ceased paying principal and interest on the term loan and interest on the revolving credit facility, this results in a payment default, which is also continuing in 2026. Such defaults afford Bank of America the right to declare the amounts outstanding under our Amended Credit Agreement immediately due and payable. To provide us with the financing flexibility needed to meet our obligations as they come due over the next twelve months, we are actively seeking additional capital through possible divestitures and/or capital raising transactions and working with Bank of America to address our covenant non-compliance. If Bank of America were to accelerate the maturity of our indebtedness under the Amended Credit Agreement, there is substantial uncertainty we would be able to secure capital resources to repay the amounts due. Absent acceleration of payment, our term loan facility and revolving credit facility matures on November 17, 2026, at which time the outstanding principal and interest will be due. For a detailed discussion of our current credit facilities, refer to Note 6. Debt in Notes to Consolidated Financial Statements in Item 8 of Part II of this Annual Report on Form 10-K. For updated disclosure on the Credit Agreement, refer to "Credit Agreement Defaults",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summarized cash flow data for the periods indicated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9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(14,975)</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(15,706)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9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(11,898)</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(6,365)</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39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43,183</w:t>
            </w: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(1,399)</w:t>
            </w:r>
          </w:p>
        </w:tc>
      </w:tr>
      <w:tr>
        <w:trPr>
          <w:trHeight w:val="648"/>
        </w:trPr>
        <w:tc>
          <w:tcPr>
            <w:tcW w:w="4460" w:type="dxa"/>
            <w:vAlign w:val="bottom"/>
          </w:tcPr>
          <w:p>
            <w:pPr>
              <w:spacing w:after="0"/>
              <w:rPr>
                <w:sz w:val="24"/>
                <w:szCs w:val="24"/>
                <w:color w:val="auto"/>
              </w:rPr>
            </w:pPr>
          </w:p>
        </w:tc>
        <w:tc>
          <w:tcPr>
            <w:tcW w:w="29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2024 of $15.0 million consisted primarily of net loss of $74.5 million, adjustments for non-cash charges for depreciation and amortization of $10.0 million, share-based compensation expense of $9.8 million, a $9.0 million impairment charge related to goodwill, a $8.8 million impairment charge related to property and equipment, a $6.6 million impairment charge related to definite-lived intangibles, $1.1 million impairment charge related to both internal use and externally sold software and $0.1 million impairment charge for right-of-use operating lease assets along with a $6.0 million increase in provision for inventory excess and obsolescence, $1.5 million increase on the recognition of a deferred tax liability, $0.9 million increase in the provision for estimated credit losses and $0.1 million of other non-cash charges, along with changes in operating assets and liabilities that resulted in net cash inflows of $5.7 million. The changes in operating assets and liabilities consisted primarily of a $20.1 million reduction in inventories and a $8.3 million reduction in accounts receivable mostly due to lower revenues, partially offset by $10.6 million decrease in other accrued assets and liabilities, mostly due to decreased sales returns and increased noncurrent prepayments made to component suppliers to secure inventory in future years, along with $7.2 million increase in prepaid expenses, $1.4 million decrease in accounts payable, $1.3 million decrease in accrued liabilities, $1.2 million increase in income taxes receivable and $1.0 million reduction in accrued employee compensation.</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2025 of $15.7 million consisted primarily of net loss of $38.5 million, adjustments for non-cash charges for depreciation and amortization of $5.1 million, share-based compensation expense of $6.4 million and increase in provision for inventory excess and obsolescence of $1.6 million, $0.3 million increase in deferred income taxes and $0.2 million impairment of capitalized software, along with changes in operating assets and liabilities that resulted in net cash inflows of $9.3 million. The changes in operating assets and liabilities consisted primarily of a $12.8 million decrease in inventory, $9.5 million increase in accrued liabilities, $4.1 million decrease in prepaid expenses and $1.4 million increase in accounts payable, mostly due to timing of purchases and payment, partially offset by $6.0 million increase in receivables, $0.1 million decrease in employee compensation and $12.1 million decrease in other assets and liabilities, mostly due to the increase in noncurrent supplier prepayments and decrease of noncurrent accrued loss on supplier commitments.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for both periods presented consisted of capital expenditures for property, equipment, internal use software and capitalized labor costs for software to be marketed for sale in support of the growth of our business. Capital spending for 2025 was $6.0 million less than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$43.2 million for 2024 was primarily due to $45.0 million drawn down on the revolving credit facility and proceeds received of $0.9 million from the issuance of ordinary shares under our Employee Share Purchase Plan partially offset by $2.6 million repayment of principal due under the term loan facility with Bank of America.</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$1.4 million for 2025 was primarily due to principal payments of $1.3 million on our term loan and $0.1 million of taxes paid on net share settlement of equity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U.S. GAAP. The preparation of these financial statements requires our management to make estimates and assumptions that affect the reported amounts of assets, liabilities, revenues, costs and expense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 For a summary of all of our accounting policies, including the accounting policies discussed below, see Note 1. Description of Business and Summary of Significant Accounting Policies, in the Notes to Consolidated Financial Statements in Item 8 of Part II of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revenues are generated primarily from the sale of hardware products, with essential embedded software. Our revenues also include amounts for software products, extended warranty on hardware products and subscription services. Revenue is recognized upon transfer of control of promised products to customers in an amount that reflects the consideration we expect to receive in exchange for those products. We generally recognize product revenues at the time of shipment, provided that all other revenue recognition criteria have been met. We recognize revenues on extended warranty on a straight-line basis over the term of the extended warranty. We recognize subscription services revenue ratably over the term in which the services are provided and our performance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58" w:name="page59"/>
    <w:bookmarkEnd w:id="58"/>
    <w:p>
      <w:pPr>
        <w:ind w:right="240"/>
        <w:spacing w:after="0" w:line="282" w:lineRule="auto"/>
        <w:rPr>
          <w:sz w:val="20"/>
          <w:szCs w:val="20"/>
          <w:color w:val="auto"/>
        </w:rPr>
      </w:pPr>
      <w:r>
        <w:rPr>
          <w:rFonts w:ascii="Times New Roman" w:cs="Times New Roman" w:eastAsia="Times New Roman" w:hAnsi="Times New Roman"/>
          <w:sz w:val="18"/>
          <w:szCs w:val="18"/>
          <w:color w:val="auto"/>
        </w:rPr>
        <w:t>obligation is satisfied. We determine the appropriate revenue recognition for our contracts with customers by analyzing the type, terms and conditions of each contract or arrangement.</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distributors are allowed certain price adjustments in the form of stock rotation rights and customer incentives. In determining the transaction price, we consider stock rotation rights and customer incentives to be forms of variable consideration. The Company estimates variable consideration for rebates using the expected value method. The estimate incorporates all reasonably available information, including historical rebate experience, current channel inventory levels, macroeconomic indicators and observable changes in customer demand. Variable consideration estimates are continuously assessed such that it is probable that a significant reversal of revenue will not occur. Our distributors are also allowed certain price adjustments in the form of stock rotation rights. Stock rotation rights grant the distributor the ability to return certain specified amounts of inventory. Stock rotations are an additional form of variable consideration. The Company estimates variable consideration for stock rotations using the value of inventory being held by its distributors ("channel inventory"), historical returns experience and a qualitative adjustment to consider fluctuations in ending channel inventory balance and actual returns being processed in both historical and subsequent periods. Management believes that the accounting estimates related to these price adjustments are "critical accounting estimates" because significant judgment is required to estimate the related accruals, such as estimating future customer preferences that could impact the rebates offered to distributors or the stock being returned.</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Accruals for these programs are recorded as revenue adjustments that reduce gross billings in the period the related sale is recognized. If significant changes in the assumptions used to develop the estimates occur, such as the expected rebate per unit or expected number of units to be rebated, it could impact the Company's results of operations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valuation of inventory requires us to estimate excess or obsolete inventory. The determination of excess or obsolete inventory is estimated based on a comparison of the quantity and cost of inventory on hand to our forecast of remaining lifetime demand, consideration of historical sales or usage and requires significant management judgment. We also consider the rate at which new products will be accepted in the marketplace and how quickly customers will transition from older products to newer products. If actual market conditions are less favorable than those projected by management, additional inventory write-downs may be required, which would have a negative impact on our gross margin. The actual amount of inventory written off in future periods will likely differ from the inventory excess and obsolete provisions reflected in our consolidated balance sheets due to difference between estimated and actual future demand, which could have a material effect on our net inventory as reported in our consolidated financial statements. Any adjustments to the valuation of inventory are included in cost of revenues.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 expected future tax consequences of events that have been included in our consolidated financial statements. Under this method, deferred tax assets and liabilities are determined on the basis of the differences between the financial statement carrying amount and the tax bases of assets and liabilities using enacted income tax rates in effect for the year in which the differences are expected to be recovered or settled. The effect of a change in income tax rates on deferred tax assets and liabilities is recognized in income in the period that includes the enactment date.</w:t>
      </w:r>
    </w:p>
    <w:p>
      <w:pPr>
        <w:spacing w:after="0" w:line="7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 in the future in excess of their net recorded amount, we would make an adjustment to the deferred tax asset valuation allowance, which would reduce the provision for income taxes.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be subject to income tax audits in all the jurisdictions in which we operate and, as a result, we must also assess exposures to any potential issues arising from current or future audits of current and prior years’ tax returns. Accordingly, we must assess such potential exposures and, where necessary, provide a reserve to cover any expected loss. We recognize the benefit of a tax position if it is more likely than not to be sustained. Recognized tax positions are measured at the largest amount more likely than not of being realized upon settlement. To the extent that we establish a reserve, our income tax expense would be increased. If we ultimately determine that payment of these amounts is unnecessary, we reverse the liability and recognize an income tax benefit during the period in which new information becomes available indicating the liability is no longer necessary. We record an additional income tax expense in the period in which new information becomes available indicating the tax liability is greater than our original estimate.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lived assets recoverability and impairment assessment</w:t>
      </w:r>
    </w:p>
    <w:p>
      <w:pPr>
        <w:spacing w:after="0" w:line="119"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We evaluate our long-lived assets for impairment by completing a quarterly qualitative assessment and whenever events or changes in circumstances indicate that the carrying value of these assets may not be recoverable. We consider historical trends and current results, assumptions regarding future performance, operating income or cash flows, strategic initiatives and overall economic</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factors, including significant negative market or industry trends and macroeconomic developments, considered in both absolute terms and relative to peers.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Considerable management judgment is necessary to estimate expected future cash flows, including evaluating the impact of operational and economic factors on our future cash flows, all of which are subject to uncertainty. The assumptions and estimates used involve significant elements of subjective judgment and analysis by management. Certain future events and circumstances, including deterioration of market conditions, a decline in actual and expected demand, among others, could result in changes to these assumptions and risks. An impairment loss is recognized when the net book value of such assets exceeds the estimated future undiscounted cash flows attributable to the assets or asset group. If impairment is indicated, the asset is written down to its estimated fair value.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from fluctuations in the interest rate used to calculate interest expense on the outstanding principal on our term loan facility and all outstanding borrowing under our revolving credit facility, which as of December 31, 2025 was $21.5 million and $45.0 million, respectively.</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result of our non-compliance with our covenants, our term loan facility and revolving credit facility were converted to Base Rate loans, with interest accruing on the outstanding principal amount of the term loan facility and outstanding borrowing on the revolving credit facility on a quarterly basis equal to the Prime rate per annum, plus a 2.25% applicable margin. In addition, we are being charged a 2% interest penalty while an event of default exists. At December 31, 2025, the effective interest rate on the term loan was 9.45% and the weighted-average interest rate on the revolving credit facility was 9.23%. A hypothetical 100-basis point increase in interest rates, and assuming a consistent applicable margin would result in an additional $0.2 million in interest expense related to our term loan facility and $0.5 million of interest expense related to our revolving credit facility per year. Until we are successful at removing the event of default, the 2% interest penalty will result in an additional $0.6 million in interest expense related to our term loan facility and $0.9 million of interest expense related to our revolving credit facility per year.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We have not entered into any foreign currency hedging transactions. We do not purchase or hold any derivative financial instruments for speculation or arbitrage.</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do not hold any cash in any investment accounts and all cash is deposited with financial institutions that management believes are of high credit quality. Our cash consists primarily of U.S. dollar denominated demand accounts.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consider the credit risk of all customers and regularly monitor credit risk exposures in our trade receivables. Our standard credit terms with our customers are generally net 30 to 60 days. We had one customer representing more than 10% of trade receivables at December 31, 2024 and 2025. In addition, we had two customers representing more than 10% of revenues for the years ended December 31, 2024 and 2025.</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on pages F-1 through F-35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Interim Chief Financial Officer, performed an evaluation of the effectiveness of our disclosure controls and procedures (as defined in Rules 13a-15(e) and 15d-15(e) under the Securities and Exchange Act of 1934, as amended (the "Exchange Act"), as of December 31, 2025, the end of the period covered by this Annual Report on Form 10-K.</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Interim Chief Financial Officer, as appropriate, to allow timely decisions regarding required disclosure.</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Based on such evaluation, our Chief Executive Officer and Interim Chief Financial Officer have concluded material weaknesses existed in our internal control over financial reporting as of December 31, 2025, and accordingly, our disclosure controls and procedures were not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our financial reporting and the preparation of our consolidated financial statements for external purposes in accordance with U.S. GAAP. Under the supervision of, and with the participation of our Chief Executive Officer and Interim Chief Financial Officer, management assessed the effectiveness of internal control over financial reporting as of December 31, 2025.</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Management based its assessment on criteria established in “Internal Control Integrated Framework (2013)” issued by the Committee of Sponsoring Organizations of the Treadway Commission (COSO). Based on this evaluation, management concluded that our internal control over financial reporting was not effective at the reasonable assurance level as of December 31, 2025, due to the material weaknesses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Identified</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management identified the following material weaknesses in our internal control over financial reporting, which have not yet been remediated:</w:t>
      </w:r>
    </w:p>
    <w:p>
      <w:pPr>
        <w:spacing w:after="0" w:line="52" w:lineRule="exact"/>
        <w:rPr>
          <w:sz w:val="20"/>
          <w:szCs w:val="20"/>
          <w:color w:val="auto"/>
        </w:rPr>
      </w:pPr>
    </w:p>
    <w:p>
      <w:pPr>
        <w:ind w:left="1020" w:right="260" w:hanging="503"/>
        <w:spacing w:after="0" w:line="258" w:lineRule="auto"/>
        <w:tabs>
          <w:tab w:leader="none" w:pos="102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Competency. </w:t>
      </w:r>
      <w:r>
        <w:rPr>
          <w:rFonts w:ascii="Times New Roman" w:cs="Times New Roman" w:eastAsia="Times New Roman" w:hAnsi="Times New Roman"/>
          <w:sz w:val="18"/>
          <w:szCs w:val="18"/>
          <w:color w:val="auto"/>
        </w:rPr>
        <w:t>We did not have sufficient technical accounting expertise and competency within the finance function to appropriately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to complex and non-routine transactions. Specifically, we did not maintain adequate personnel with the appropriate level of knowledge, experience and training to (i) identify accounting issues requiring specialized judgment, (ii) research and interpret relevant accounting guidance, and (iii) design and execute effective controls over the accounting for such transactions. As a result, certain controls designed to prevent or detect misstatements in a timely manner were not operating effectively.</w:t>
      </w:r>
    </w:p>
    <w:p>
      <w:pPr>
        <w:spacing w:after="0" w:line="75" w:lineRule="exact"/>
        <w:rPr>
          <w:rFonts w:ascii="Times New Roman" w:cs="Times New Roman" w:eastAsia="Times New Roman" w:hAnsi="Times New Roman"/>
          <w:sz w:val="18"/>
          <w:szCs w:val="18"/>
          <w:i w:val="1"/>
          <w:iCs w:val="1"/>
          <w:color w:val="auto"/>
        </w:rPr>
      </w:pPr>
    </w:p>
    <w:p>
      <w:pPr>
        <w:ind w:left="1020" w:hanging="503"/>
        <w:spacing w:after="0" w:line="284" w:lineRule="auto"/>
        <w:tabs>
          <w:tab w:leader="none" w:pos="102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Accounting policies and procedures. </w:t>
      </w:r>
      <w:r>
        <w:rPr>
          <w:rFonts w:ascii="Times New Roman" w:cs="Times New Roman" w:eastAsia="Times New Roman" w:hAnsi="Times New Roman"/>
          <w:sz w:val="18"/>
          <w:szCs w:val="18"/>
          <w:color w:val="auto"/>
        </w:rPr>
        <w:t>We did not maintain effective controls over financial reporting related to the design and adequacy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and procedures supporting the identification, estimation, and recording of certain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ind w:left="1020"/>
        <w:spacing w:after="0" w:line="256" w:lineRule="auto"/>
        <w:rPr>
          <w:sz w:val="20"/>
          <w:szCs w:val="20"/>
          <w:color w:val="auto"/>
        </w:rPr>
      </w:pPr>
      <w:r>
        <w:rPr>
          <w:rFonts w:ascii="Times New Roman" w:cs="Times New Roman" w:eastAsia="Times New Roman" w:hAnsi="Times New Roman"/>
          <w:sz w:val="18"/>
          <w:szCs w:val="18"/>
          <w:color w:val="auto"/>
        </w:rPr>
        <w:t>significant accounting estimates, specifically, those related to the evaluation of excess and obsolete inventory, the estimation of expected credit losses, classification of certain supplier prepayments made as current or noncurrent assets and classification of loss on supplier commitment liability as current or noncurrent liabilities; the identification and accounting for variable consideration, and processes and procedures to identify and assess the accounting of non-standard revenue contracts and related terms. Our accounting policies did not provide adequate guidance to ensure that these matters were consistently identified, evaluated and accounted for in accordance with U.S. GAAP, or that changes in relevant facts and circumstances were appropriately reflected in management's accounting conclusions.</w:t>
      </w:r>
    </w:p>
    <w:p>
      <w:pPr>
        <w:spacing w:after="0" w:line="77" w:lineRule="exact"/>
        <w:rPr>
          <w:sz w:val="20"/>
          <w:szCs w:val="20"/>
          <w:color w:val="auto"/>
        </w:rPr>
      </w:pPr>
    </w:p>
    <w:p>
      <w:pPr>
        <w:ind w:left="1020" w:right="80" w:hanging="503"/>
        <w:spacing w:after="0" w:line="261" w:lineRule="auto"/>
        <w:tabs>
          <w:tab w:leader="none" w:pos="10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Information technology general controls. </w:t>
      </w:r>
      <w:r>
        <w:rPr>
          <w:rFonts w:ascii="Times New Roman" w:cs="Times New Roman" w:eastAsia="Times New Roman" w:hAnsi="Times New Roman"/>
          <w:sz w:val="18"/>
          <w:szCs w:val="18"/>
          <w:color w:val="auto"/>
        </w:rPr>
        <w:t>We did not maintain effective controls related to the design and operating effectiveness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general controls over systems supporting financial reporting, including controls over logical access, program change management, and information technology operations. These information technology general control deficiencies impacted management's ability to rely on certain automated controls and system-generated reports.</w:t>
      </w:r>
    </w:p>
    <w:p>
      <w:pPr>
        <w:spacing w:after="0" w:line="71" w:lineRule="exact"/>
        <w:rPr>
          <w:rFonts w:ascii="Times New Roman" w:cs="Times New Roman" w:eastAsia="Times New Roman" w:hAnsi="Times New Roman"/>
          <w:sz w:val="18"/>
          <w:szCs w:val="18"/>
          <w:i w:val="1"/>
          <w:iCs w:val="1"/>
          <w:color w:val="auto"/>
        </w:rPr>
      </w:pPr>
    </w:p>
    <w:p>
      <w:pPr>
        <w:ind w:left="1020" w:right="20" w:hanging="503"/>
        <w:spacing w:after="0" w:line="257" w:lineRule="auto"/>
        <w:tabs>
          <w:tab w:leader="none" w:pos="10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Rebates and returns. </w:t>
      </w:r>
      <w:r>
        <w:rPr>
          <w:rFonts w:ascii="Times New Roman" w:cs="Times New Roman" w:eastAsia="Times New Roman" w:hAnsi="Times New Roman"/>
          <w:sz w:val="18"/>
          <w:szCs w:val="18"/>
          <w:color w:val="auto"/>
        </w:rPr>
        <w:t>We did not maintain effective controls over our rebate and returns programs to ensure they completely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relevant contract terms and program features were appropriately evaluated, and that rebate and returns accruals were estimated using reasonable and supportable assumptions that reflect expected customer behavior and historical experience as required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addition, controls were not sufficiently precise to ensure that changes in rebate programs,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sales trends, channel inventory amounts, and other relevant inputs were timely incorporated into the estimation of variable consideration.</w:t>
      </w:r>
    </w:p>
    <w:p>
      <w:pPr>
        <w:spacing w:after="0" w:line="74" w:lineRule="exact"/>
        <w:rPr>
          <w:rFonts w:ascii="Times New Roman" w:cs="Times New Roman" w:eastAsia="Times New Roman" w:hAnsi="Times New Roman"/>
          <w:sz w:val="18"/>
          <w:szCs w:val="18"/>
          <w:i w:val="1"/>
          <w:iCs w:val="1"/>
          <w:color w:val="auto"/>
        </w:rPr>
      </w:pPr>
    </w:p>
    <w:p>
      <w:pPr>
        <w:ind w:left="1020" w:hanging="503"/>
        <w:spacing w:after="0" w:line="257" w:lineRule="auto"/>
        <w:tabs>
          <w:tab w:leader="none" w:pos="10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Excess and obsolete inventory. </w:t>
      </w:r>
      <w:r>
        <w:rPr>
          <w:rFonts w:ascii="Times New Roman" w:cs="Times New Roman" w:eastAsia="Times New Roman" w:hAnsi="Times New Roman"/>
          <w:sz w:val="18"/>
          <w:szCs w:val="18"/>
          <w:color w:val="auto"/>
        </w:rPr>
        <w:t>We did not maintain effective controls over financial reporting related to the identification, estimation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recording of excess and obsolete inventory reserves for finished goods and component inventory. Specifically, we did not design and maintain effective controls to ensure that inventory items that were excess, slow-moving, or obsolete were identified timely and appropriately evaluated based on remaining lifetime demand, product life cycles, customer requirements, and technological changes. In addition, controls were not sufficiently designed or operating effectively to ensure that inventory reserve estimates were developed using reasonable and supportable assumptions, including consideration of historic sales or usage and remaining lifetime demand.</w:t>
      </w:r>
    </w:p>
    <w:p>
      <w:pPr>
        <w:spacing w:after="0" w:line="74" w:lineRule="exact"/>
        <w:rPr>
          <w:rFonts w:ascii="Times New Roman" w:cs="Times New Roman" w:eastAsia="Times New Roman" w:hAnsi="Times New Roman"/>
          <w:sz w:val="18"/>
          <w:szCs w:val="18"/>
          <w:i w:val="1"/>
          <w:iCs w:val="1"/>
          <w:color w:val="auto"/>
        </w:rPr>
      </w:pPr>
    </w:p>
    <w:p>
      <w:pPr>
        <w:ind w:left="1020" w:right="200" w:hanging="503"/>
        <w:spacing w:after="0" w:line="257" w:lineRule="auto"/>
        <w:tabs>
          <w:tab w:leader="none" w:pos="10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accounting. </w:t>
      </w:r>
      <w:r>
        <w:rPr>
          <w:rFonts w:ascii="Times New Roman" w:cs="Times New Roman" w:eastAsia="Times New Roman" w:hAnsi="Times New Roman"/>
          <w:sz w:val="18"/>
          <w:szCs w:val="18"/>
          <w:color w:val="auto"/>
        </w:rPr>
        <w:t>We did not maintain effective controls over the timely identification of impairment triggering events or the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evaluation and recording of impairments related to long-lived assets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Specifically, we did not ensure that events or changes in circumstances indicating that the carrying amounts of individual long-lived assets may not be recoverable were identified and assessed on a timely basis. Additionally, controls were not adequately designed or operating effectively to ensure that, upon identification of a triggering event, appropriate qualitative and quantitative impairment analyses were performed and that any resulting impairment charges were accurately measured and recorded in the appropriate reporting period.</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57" w:lineRule="auto"/>
        <w:tabs>
          <w:tab w:leader="none" w:pos="10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did not maintain effective controls over the identification, evaluation, and timely recording of valuation allowances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Specifically, controls were not designed or operating effectively to ensure that all available positive and negative evidence relevant to the realizability of deferred tax assets was appropriately identified, evaluated, and monitored on a timely basis. Additionally, we did not maintain effective controls to ensure that changes in facts and circumstances affecting the realizability of deferred tax assets were consistently incorporated into management's conclusions regarding the need for, and amount of, a valuation allowance, or that resulting deferred tax balances were recorded in the appropriate reporting period.</w:t>
      </w:r>
    </w:p>
    <w:p>
      <w:pPr>
        <w:spacing w:after="0" w:line="74" w:lineRule="exact"/>
        <w:rPr>
          <w:rFonts w:ascii="Times New Roman" w:cs="Times New Roman" w:eastAsia="Times New Roman" w:hAnsi="Times New Roman"/>
          <w:sz w:val="18"/>
          <w:szCs w:val="18"/>
          <w:i w:val="1"/>
          <w:iCs w:val="1"/>
          <w:color w:val="auto"/>
        </w:rPr>
      </w:pPr>
    </w:p>
    <w:p>
      <w:pPr>
        <w:ind w:left="1020" w:right="20" w:hanging="503"/>
        <w:spacing w:after="0" w:line="261" w:lineRule="auto"/>
        <w:tabs>
          <w:tab w:leader="none" w:pos="10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Classification of prepaid supplier payments and loss on commitment liability. </w:t>
      </w:r>
      <w:r>
        <w:rPr>
          <w:rFonts w:ascii="Times New Roman" w:cs="Times New Roman" w:eastAsia="Times New Roman" w:hAnsi="Times New Roman"/>
          <w:sz w:val="18"/>
          <w:szCs w:val="18"/>
          <w:color w:val="auto"/>
        </w:rPr>
        <w:t>We did not maintain effective controls over our classification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prepaid supplier payments and loss on supplier commitment liability. Specifically, controls were not designed or operating effectively to ensure that relevant, available and knowable information was adequately used to determine the appropriate noncurrent portion of the supplier prepayments and loss on supplier commitment liability.</w:t>
      </w:r>
    </w:p>
    <w:p>
      <w:pPr>
        <w:spacing w:after="0" w:line="71" w:lineRule="exact"/>
        <w:rPr>
          <w:rFonts w:ascii="Times New Roman" w:cs="Times New Roman" w:eastAsia="Times New Roman" w:hAnsi="Times New Roman"/>
          <w:sz w:val="18"/>
          <w:szCs w:val="18"/>
          <w:i w:val="1"/>
          <w:iCs w:val="1"/>
          <w:color w:val="auto"/>
        </w:rPr>
      </w:pPr>
    </w:p>
    <w:p>
      <w:pPr>
        <w:jc w:val="both"/>
        <w:ind w:left="1020" w:right="420" w:hanging="503"/>
        <w:spacing w:after="0" w:line="267" w:lineRule="auto"/>
        <w:tabs>
          <w:tab w:leader="none" w:pos="10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Estimate of the allowance for credit losses. </w:t>
      </w:r>
      <w:r>
        <w:rPr>
          <w:rFonts w:ascii="Times New Roman" w:cs="Times New Roman" w:eastAsia="Times New Roman" w:hAnsi="Times New Roman"/>
          <w:sz w:val="18"/>
          <w:szCs w:val="18"/>
          <w:color w:val="auto"/>
        </w:rPr>
        <w:t>We did not maintain effective controls over the evaluation and timely recording of bad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Specifically, controls were not designed or operating effectively to ensure that certain adjustments to accounts receivable were recorded on a timely basis in the appropriate reporting period.</w:t>
      </w:r>
    </w:p>
    <w:p>
      <w:pPr>
        <w:spacing w:after="0" w:line="6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not remediated, or if we identify further material weaknesses in our internal controls, our failure to establish and maintain effective disclosure controls and procedures and internal controls over financial reporting could result in future material misstatements in our consolidated financial statements.</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as established by the rules of the SEC for small reporting companies and non-accelerated filers.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Plan to Remediate the Material Weaknesses</w:t>
      </w:r>
    </w:p>
    <w:p>
      <w:pPr>
        <w:spacing w:after="0" w:line="121" w:lineRule="exact"/>
        <w:rPr>
          <w:sz w:val="20"/>
          <w:szCs w:val="20"/>
          <w:color w:val="auto"/>
        </w:rPr>
      </w:pPr>
    </w:p>
    <w:p>
      <w:pPr>
        <w:ind w:right="160" w:firstLine="614"/>
        <w:spacing w:after="0" w:line="266" w:lineRule="auto"/>
        <w:rPr>
          <w:sz w:val="20"/>
          <w:szCs w:val="20"/>
          <w:color w:val="auto"/>
        </w:rPr>
      </w:pPr>
      <w:r>
        <w:rPr>
          <w:rFonts w:ascii="Times New Roman" w:cs="Times New Roman" w:eastAsia="Times New Roman" w:hAnsi="Times New Roman"/>
          <w:sz w:val="18"/>
          <w:szCs w:val="18"/>
          <w:color w:val="auto"/>
        </w:rPr>
        <w:t>Management, with oversight from the Audit Committee of our Board of Directors, has been and is continuing to take steps to remediate the material weaknesses described above by implementing changes to our internal control over financial reporting. Our plans for remediation include, but are not limited to, the efforts summarized below:</w:t>
      </w:r>
    </w:p>
    <w:p>
      <w:pPr>
        <w:spacing w:after="0" w:line="68" w:lineRule="exact"/>
        <w:rPr>
          <w:sz w:val="20"/>
          <w:szCs w:val="20"/>
          <w:color w:val="auto"/>
        </w:rPr>
      </w:pPr>
    </w:p>
    <w:p>
      <w:pPr>
        <w:ind w:left="1020" w:right="6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personnel and/or continuing to engage contractors and third-party advisors with technical accounting expertise and competency to appropriately apply U.S. GAAP to complex and non-routine transactions.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monitoring of user access and change management by performing comprehensive review of user roles and permissions.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controls over the calculation of the estimate for incentives associated with distributor rebates, particularly as it relates to the completeness and accuracy of the information produced by the entity (IPE) and assumptions used in developing the estimate of future rebates to be issued, as well as control over the information produced, including spreadsheets, reports and data by our IT systems, to develop these estimates.</w:t>
      </w:r>
    </w:p>
    <w:p>
      <w:pPr>
        <w:spacing w:after="0" w:line="71"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controls over the calculation of estimate for sales returns, particularly as it relates to the assumptions used in the estimate of returns to be received.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completeness and accuracy of information used in financial forecasts used to calculate the estimate of excess and obsolete inventory and impairment analysis, particularly as it relates to our assessment of underlying assumptions about demand for our products, together with procedures and documentation to corroborate our assessment of the underlying assumptions about demand for our products.</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accounting for income taxes to ensure the appropriate recording of deferred income taxes, deferred tax valuation allowances and related disclosures. Also, engaging a third-party advisor to assist management in making improvements to our evaluation and documentation of accounting for deferred tax valuation allowances.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completeness and accuracy of information used in our assessment to determine the appropriate noncurrent portion of the supplier prepayments and loss on supplier commitments liability.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completeness of information used in the determination of our allowance for credit losses, particularly as it relates to our assessment of the underlying assumptions about the collectability of aged accounts receivable, together with procedures and documentation to corroborate our assessment of the underlying assumptions about the collectability of aged accounts receivable.</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expect to continue our efforts to remediate the material weakness as described above through fiscal year 2026. We believe that the implementation of the above steps will allow us to address the deficient controls within our internal controls environment, which will facilitate the remediation of the material weakness. As we continue to evaluate and work to improve our internal control over financial reporting, we will take additional measures to address control deficiencies and we may modify certain of the remediation measures described above. Following our design and implementation of our remediation efforts, we will need to demonstrate their operating effectiveness. We will not be able to consider the material weakness remediated until the applicable remedial controls operate for a sufficient period of time and our management has concluded, through testing, that our control is operating effectively.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are working towards implementing processes and procedures to address the material weaknesses noted above. There were no changes in our internal control over financial reporting identified in management’s evaluation pursuant to Rules 13a-15(e) and 15d-15(e) of the Exchange Act for the quarter ended December 31, 2025 other than the identification of the material weaknesses and the remediation plan disclosed above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none of the Company's directors or officers (as defined in Rule 16a-1(f) of the Securities and Exchange Act of 1934) adopted, terminated or modified a Rule 10b5-1 trading arrangement or non-Rule 10b5-1 trading arrangement (as such terms are defined in Item 408 of Regulation S-K).</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w:t>
      </w:r>
    </w:p>
    <w:p>
      <w:pPr>
        <w:sectPr>
          <w:pgSz w:w="11900" w:h="16838" w:orient="portrait"/>
          <w:cols w:equalWidth="0" w:num="1">
            <w:col w:w="10139"/>
          </w:cols>
          <w:pgMar w:left="320" w:top="1197" w:right="1440" w:bottom="1440" w:gutter="0" w:footer="0" w:header="0"/>
        </w:sectPr>
      </w:pP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type w:val="continuous"/>
        </w:sectPr>
      </w:pPr>
    </w:p>
    <w:bookmarkStart w:id="64" w:name="page65"/>
    <w:bookmarkEnd w:id="6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who are divided into three classes with staggered, three-year terms. Our Amended and Restated Memorandum and Articles of Association provides that the authorized number of directors may be changed only by resolution of our board of directors. The following table sets forth information with respect to our board of directors as of April 20, 2026.</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4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1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Board Committees</w:t>
            </w:r>
          </w:p>
        </w:tc>
        <w:tc>
          <w:tcPr>
            <w:tcW w:w="100" w:type="dxa"/>
            <w:vAlign w:val="bottom"/>
          </w:tcPr>
          <w:p>
            <w:pPr>
              <w:spacing w:after="0"/>
              <w:rPr>
                <w:sz w:val="16"/>
                <w:szCs w:val="16"/>
                <w:color w:val="auto"/>
              </w:rPr>
            </w:pPr>
          </w:p>
        </w:tc>
      </w:tr>
      <w:tr>
        <w:trPr>
          <w:trHeight w:val="216"/>
        </w:trPr>
        <w:tc>
          <w:tcPr>
            <w:tcW w:w="26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040" w:type="dxa"/>
            <w:vAlign w:val="bottom"/>
            <w:tcBorders>
              <w:bottom w:val="single" w:sz="8" w:color="auto"/>
            </w:tcBorders>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Class I Directors</w:t>
            </w:r>
          </w:p>
        </w:tc>
        <w:tc>
          <w:tcPr>
            <w:tcW w:w="40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Atul Bhatnagar</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69</w:t>
            </w:r>
          </w:p>
        </w:tc>
        <w:tc>
          <w:tcPr>
            <w:tcW w:w="160" w:type="dxa"/>
            <w:vAlign w:val="bottom"/>
          </w:tcPr>
          <w:p>
            <w:pPr>
              <w:spacing w:after="0"/>
              <w:rPr>
                <w:sz w:val="18"/>
                <w:szCs w:val="18"/>
                <w:color w:val="auto"/>
              </w:rPr>
            </w:pPr>
          </w:p>
        </w:tc>
        <w:tc>
          <w:tcPr>
            <w:tcW w:w="304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April 2018</w:t>
            </w:r>
          </w:p>
        </w:tc>
        <w:tc>
          <w:tcPr>
            <w:tcW w:w="4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Alexander Slusky</w:t>
            </w:r>
          </w:p>
        </w:tc>
        <w:tc>
          <w:tcPr>
            <w:tcW w:w="122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shd w:val="clear" w:color="auto" w:fill="CFF0FC"/>
          </w:tcPr>
          <w:p>
            <w:pPr>
              <w:spacing w:after="0"/>
              <w:rPr>
                <w:sz w:val="18"/>
                <w:szCs w:val="18"/>
                <w:color w:val="auto"/>
              </w:rPr>
            </w:pPr>
          </w:p>
        </w:tc>
        <w:tc>
          <w:tcPr>
            <w:tcW w:w="3040" w:type="dxa"/>
            <w:vAlign w:val="bottom"/>
            <w:gridSpan w:val="3"/>
            <w:shd w:val="clear" w:color="auto" w:fill="CFF0FC"/>
          </w:tcPr>
          <w:p>
            <w:pPr>
              <w:jc w:val="right"/>
              <w:ind w:right="1600"/>
              <w:spacing w:after="0"/>
              <w:rPr>
                <w:sz w:val="20"/>
                <w:szCs w:val="20"/>
                <w:color w:val="auto"/>
              </w:rPr>
            </w:pPr>
            <w:r>
              <w:rPr>
                <w:rFonts w:ascii="Times New Roman" w:cs="Times New Roman" w:eastAsia="Times New Roman" w:hAnsi="Times New Roman"/>
                <w:sz w:val="18"/>
                <w:szCs w:val="18"/>
                <w:color w:val="auto"/>
              </w:rPr>
              <w:t>August 2011</w:t>
            </w:r>
          </w:p>
        </w:tc>
        <w:tc>
          <w:tcPr>
            <w:tcW w:w="4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Compensation Committee (Chair)</w:t>
            </w:r>
          </w:p>
        </w:tc>
      </w:tr>
      <w:tr>
        <w:trPr>
          <w:trHeight w:val="216"/>
        </w:trPr>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Morgan Kurk</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tcPr>
          <w:p>
            <w:pPr>
              <w:spacing w:after="0"/>
              <w:rPr>
                <w:sz w:val="18"/>
                <w:szCs w:val="18"/>
                <w:color w:val="auto"/>
              </w:rPr>
            </w:pPr>
          </w:p>
        </w:tc>
        <w:tc>
          <w:tcPr>
            <w:tcW w:w="304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August 2023</w:t>
            </w:r>
          </w:p>
        </w:tc>
        <w:tc>
          <w:tcPr>
            <w:tcW w:w="4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040" w:type="dxa"/>
            <w:vAlign w:val="bottom"/>
            <w:tcBorders>
              <w:bottom w:val="single" w:sz="8" w:color="auto"/>
            </w:tcBorders>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Class II Directors</w:t>
            </w:r>
          </w:p>
        </w:tc>
        <w:tc>
          <w:tcPr>
            <w:tcW w:w="40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Vikram Verma</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18"/>
                <w:szCs w:val="18"/>
                <w:color w:val="auto"/>
              </w:rPr>
            </w:pPr>
          </w:p>
        </w:tc>
        <w:tc>
          <w:tcPr>
            <w:tcW w:w="304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January 2019</w:t>
            </w:r>
          </w:p>
        </w:tc>
        <w:tc>
          <w:tcPr>
            <w:tcW w:w="4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Audit Committee, Compensation Committee</w:t>
            </w:r>
          </w:p>
        </w:tc>
      </w:tr>
      <w:tr>
        <w:trPr>
          <w:trHeight w:val="216"/>
        </w:trPr>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Robert Amen (Chairman)</w:t>
            </w:r>
          </w:p>
        </w:tc>
        <w:tc>
          <w:tcPr>
            <w:tcW w:w="122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shd w:val="clear" w:color="auto" w:fill="CFF0FC"/>
          </w:tcPr>
          <w:p>
            <w:pPr>
              <w:spacing w:after="0"/>
              <w:rPr>
                <w:sz w:val="18"/>
                <w:szCs w:val="18"/>
                <w:color w:val="auto"/>
              </w:rPr>
            </w:pPr>
          </w:p>
        </w:tc>
        <w:tc>
          <w:tcPr>
            <w:tcW w:w="3040" w:type="dxa"/>
            <w:vAlign w:val="bottom"/>
            <w:gridSpan w:val="3"/>
            <w:shd w:val="clear" w:color="auto" w:fill="CFF0FC"/>
          </w:tcPr>
          <w:p>
            <w:pPr>
              <w:jc w:val="right"/>
              <w:ind w:right="1600"/>
              <w:spacing w:after="0"/>
              <w:rPr>
                <w:sz w:val="20"/>
                <w:szCs w:val="20"/>
                <w:color w:val="auto"/>
              </w:rPr>
            </w:pPr>
            <w:r>
              <w:rPr>
                <w:rFonts w:ascii="Times New Roman" w:cs="Times New Roman" w:eastAsia="Times New Roman" w:hAnsi="Times New Roman"/>
                <w:sz w:val="18"/>
                <w:szCs w:val="18"/>
                <w:color w:val="auto"/>
              </w:rPr>
              <w:t>August 2011</w:t>
            </w:r>
          </w:p>
        </w:tc>
        <w:tc>
          <w:tcPr>
            <w:tcW w:w="4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Class III Directors</w:t>
            </w:r>
          </w:p>
        </w:tc>
        <w:tc>
          <w:tcPr>
            <w:tcW w:w="4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Bruce Felt</w:t>
            </w:r>
          </w:p>
        </w:tc>
        <w:tc>
          <w:tcPr>
            <w:tcW w:w="122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68</w:t>
            </w:r>
          </w:p>
        </w:tc>
        <w:tc>
          <w:tcPr>
            <w:tcW w:w="160" w:type="dxa"/>
            <w:vAlign w:val="bottom"/>
            <w:shd w:val="clear" w:color="auto" w:fill="CFF0FC"/>
          </w:tcPr>
          <w:p>
            <w:pPr>
              <w:spacing w:after="0"/>
              <w:rPr>
                <w:sz w:val="18"/>
                <w:szCs w:val="18"/>
                <w:color w:val="auto"/>
              </w:rPr>
            </w:pPr>
          </w:p>
        </w:tc>
        <w:tc>
          <w:tcPr>
            <w:tcW w:w="3040" w:type="dxa"/>
            <w:vAlign w:val="bottom"/>
            <w:gridSpan w:val="3"/>
            <w:shd w:val="clear" w:color="auto" w:fill="CFF0FC"/>
          </w:tcPr>
          <w:p>
            <w:pPr>
              <w:jc w:val="right"/>
              <w:ind w:right="1600"/>
              <w:spacing w:after="0"/>
              <w:rPr>
                <w:sz w:val="20"/>
                <w:szCs w:val="20"/>
                <w:color w:val="auto"/>
              </w:rPr>
            </w:pPr>
            <w:r>
              <w:rPr>
                <w:rFonts w:ascii="Times New Roman" w:cs="Times New Roman" w:eastAsia="Times New Roman" w:hAnsi="Times New Roman"/>
                <w:sz w:val="18"/>
                <w:szCs w:val="18"/>
                <w:color w:val="auto"/>
              </w:rPr>
              <w:t>May 2018</w:t>
            </w:r>
          </w:p>
        </w:tc>
        <w:tc>
          <w:tcPr>
            <w:tcW w:w="4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Audit Committee (Chair)</w:t>
            </w:r>
          </w:p>
        </w:tc>
      </w:tr>
      <w:tr>
        <w:trPr>
          <w:trHeight w:val="234"/>
        </w:trPr>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Kevin Lynch</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tcPr>
          <w:p>
            <w:pPr>
              <w:spacing w:after="0"/>
              <w:rPr>
                <w:sz w:val="20"/>
                <w:szCs w:val="20"/>
                <w:color w:val="auto"/>
              </w:rPr>
            </w:pPr>
          </w:p>
        </w:tc>
        <w:tc>
          <w:tcPr>
            <w:tcW w:w="304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June 2020</w:t>
            </w:r>
          </w:p>
        </w:tc>
        <w:tc>
          <w:tcPr>
            <w:tcW w:w="4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Audit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-713740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right="680"/>
        <w:spacing w:after="0" w:line="373" w:lineRule="auto"/>
        <w:rPr>
          <w:sz w:val="20"/>
          <w:szCs w:val="20"/>
          <w:color w:val="auto"/>
        </w:rPr>
      </w:pPr>
      <w:r>
        <w:rPr>
          <w:rFonts w:ascii="Times New Roman" w:cs="Times New Roman" w:eastAsia="Times New Roman" w:hAnsi="Times New Roman"/>
          <w:sz w:val="18"/>
          <w:szCs w:val="18"/>
          <w:color w:val="auto"/>
        </w:rPr>
        <w:t xml:space="preserve">There was no change in the composition of our board of directors during 2025. Additional biographical descriptions are set forth in the text below. </w:t>
      </w:r>
      <w:r>
        <w:rPr>
          <w:rFonts w:ascii="Times New Roman" w:cs="Times New Roman" w:eastAsia="Times New Roman" w:hAnsi="Times New Roman"/>
          <w:sz w:val="18"/>
          <w:szCs w:val="18"/>
          <w:i w:val="1"/>
          <w:iCs w:val="1"/>
          <w:color w:val="auto"/>
        </w:rPr>
        <w:t>Class I Directors</w:t>
      </w: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Alexander R. Slusky </w:t>
      </w:r>
      <w:r>
        <w:rPr>
          <w:rFonts w:ascii="Times New Roman" w:cs="Times New Roman" w:eastAsia="Times New Roman" w:hAnsi="Times New Roman"/>
          <w:sz w:val="18"/>
          <w:szCs w:val="18"/>
          <w:color w:val="auto"/>
        </w:rPr>
        <w:t>has served as a member of our board of directors since August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ince its inception in 1997, Mr. Slusky has served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and Founding Partner of Vector Capital and its affiliated funds. From 1995 until 1997, Mr. Slusky led the technology equity practice at Ziff Brothers Investments, managing a portfolio of public and private technology investments which later became Vector Capital. From 1992 until 1995, Mr. Slusky was an investor at New Enterprise Associates, a venture capital firm where he focused on venture investments in software, communications, and digital media. Mr. Slusky holds a Bachelor’s degree in Economics from Harvard University and a Master of Business Administration from Harvard Business School. In addition to Cambium, Mr. Slusky currently serves on the board of directors of Rocket Lab, a space systems company, and previously served on the board of directors of Technicolor SA, a digital media solutions company.</w:t>
      </w:r>
    </w:p>
    <w:p>
      <w:pPr>
        <w:spacing w:after="0" w:line="92" w:lineRule="exact"/>
        <w:rPr>
          <w:sz w:val="20"/>
          <w:szCs w:val="20"/>
          <w:color w:val="auto"/>
        </w:rPr>
      </w:pPr>
    </w:p>
    <w:p>
      <w:pPr>
        <w:ind w:firstLine="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Atul Bhatnagar </w:t>
      </w:r>
      <w:r>
        <w:rPr>
          <w:rFonts w:ascii="Times New Roman" w:cs="Times New Roman" w:eastAsia="Times New Roman" w:hAnsi="Times New Roman"/>
          <w:sz w:val="18"/>
          <w:szCs w:val="18"/>
          <w:color w:val="auto"/>
        </w:rPr>
        <w:t>served as our President and Chief Executive Officer from February 2013 to August 2023. He was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ExperienceFlow AI from November 2024 to February 2025. He was on the board of directors of Cambium Networks, Ltd., the company through which we conduct our business from September 2014 to August 2023. In connection with our IPO, Mr. Bhatnagar was appointed as a member of our board of directors in April 2018. Prior to joining us, Mr. Bhatnagar served as the President and Chief Executive Officer of Ixia, a company that provided test and measurement equipment and applications to maintain wireless and wireline computer networks, from March 2008 until May 2012. Mr. Bhatnagar holds a B.S. degree in Electrical Engineering from the Birla Institute of Technology and Sciences and a M.S. in Electrical Engineering from the University of New Mexico, Albuquerque.</w:t>
      </w:r>
    </w:p>
    <w:p>
      <w:pPr>
        <w:spacing w:after="0" w:line="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Morgan Kurk </w:t>
      </w:r>
      <w:r>
        <w:rPr>
          <w:rFonts w:ascii="Times New Roman" w:cs="Times New Roman" w:eastAsia="Times New Roman" w:hAnsi="Times New Roman"/>
          <w:sz w:val="18"/>
          <w:szCs w:val="18"/>
          <w:color w:val="auto"/>
        </w:rPr>
        <w:t>has been our President and Chief Executive Officer and a member of our Board of Directors since August 2023. From September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2023 he was President, Personal Protection Equipment at Honeywell. Prior to that, Mr. Kurk held roles at CommScope, as Chief Technology Officer, Executive Vice President, and Executive Vice President of the Broadband Segment from April 2019 to July 2021, Chief Operating Officer from April 2018 to July 2021, Chief Technology Officer from October 2015 to January 2018, Senior Vice President, Wireless from April 2012 to October 2015, and Senior Vice President, Enterprise from November 2009 to July 2012. Mr. Kurk holds an M.S.E.E. Electromagnetics and Optics from the University of Michigan, and an M.B.A., Marketing and Finance from Northwestern University, Kellogg School of Management.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II Directors</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Robert Amen </w:t>
      </w:r>
      <w:r>
        <w:rPr>
          <w:rFonts w:ascii="Times New Roman" w:cs="Times New Roman" w:eastAsia="Times New Roman" w:hAnsi="Times New Roman"/>
          <w:sz w:val="18"/>
          <w:szCs w:val="18"/>
          <w:color w:val="auto"/>
        </w:rPr>
        <w:t>has served as a member of our board of directors since August 2011, as our Chairman of the Board since 2018 and a member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from June 2019 to June 2020. Mr. Amen joined Vector Capital as an Associate in 1999 and became Managing Director in 2012. Before joining Vector Capital, Mr. Amen was a Business Development Manager at Microsoft Corporation and a Corporate Finance Analyst in the Technology practice at Montgomery Securities. Mr. Amen currently sits on the Board of Directors of Leap Event Technology, MoxiWorks, IPVALUE, and Showpad. Previous board assignments include CollabNet VersionOne (acquired by TPG Capital), Cloudsense (acquired by Skyvera), Corel (acquired by KKR), Idera (acquired by TA</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ind w:right="260"/>
        <w:spacing w:after="0" w:line="282" w:lineRule="auto"/>
        <w:rPr>
          <w:sz w:val="20"/>
          <w:szCs w:val="20"/>
          <w:color w:val="auto"/>
        </w:rPr>
      </w:pPr>
      <w:r>
        <w:rPr>
          <w:rFonts w:ascii="Times New Roman" w:cs="Times New Roman" w:eastAsia="Times New Roman" w:hAnsi="Times New Roman"/>
          <w:sz w:val="18"/>
          <w:szCs w:val="18"/>
          <w:color w:val="auto"/>
        </w:rPr>
        <w:t>Associates), McGraw Hill Education and Precise Software Solutions (acquired by Idera). Mr. Amen has a B.A. in history and economics from Stanford University and a M.B.A from The Wharton School.</w:t>
      </w:r>
    </w:p>
    <w:p>
      <w:pPr>
        <w:spacing w:after="0" w:line="5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Vikram Verma </w:t>
      </w:r>
      <w:r>
        <w:rPr>
          <w:rFonts w:ascii="Times New Roman" w:cs="Times New Roman" w:eastAsia="Times New Roman" w:hAnsi="Times New Roman"/>
          <w:sz w:val="17"/>
          <w:szCs w:val="17"/>
          <w:color w:val="auto"/>
        </w:rPr>
        <w:t>has served as a member of our board of directors since January 2019 and serves on our audit and compensation committees. Mr. Verma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Chief Executive Officer of 8x8, a cloud communication services company, from September 2013 to December 2020 and as a director of 8x8 from January 2012 to December 2020. From October 2008 through August 2013, Mr. Verma was President of Strategic Venture Development for Lockheed Martin. From 2006 through 2008, Mr. Verma was President of the IS&amp;GS Savi Group, a division of Lockheed Martin. Prior to 2006, Mr. Verma was Chairman and Chief Executive Officer of Savi Technology through its acquisition by Lockheed Martin. Mr. Verma has served as a member of the board of directors of RAE Systems (acquired by Honeywell International), Blackfire (acquired by ROKU, Inc.) and Ping Identity Holding Corp. (acquired by Thoma Bravo). He currently serves on the board of directors of Cyara (Lead Independent Director), Zingtree, Genesis Digital, LLC (Executive Chairman, Board of Managers), SecureAuth Corporation (Chairman), TokenEX (now called IXOPAY) (Chairman), and the Advisory Board of Wiliot. Mr. Verma received a Bachelor of Science Electrical Engineering (B.S.E.E.) degree from Florida Institute of Technology, a Master of Science Electrical Engineering (M.S.E.) degree from the University of Michigan, and a graduate degree of Engineer in Electrical Engineering from Stanford University.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III Directors</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Bruce Felt </w:t>
      </w:r>
      <w:r>
        <w:rPr>
          <w:rFonts w:ascii="Times New Roman" w:cs="Times New Roman" w:eastAsia="Times New Roman" w:hAnsi="Times New Roman"/>
          <w:sz w:val="18"/>
          <w:szCs w:val="18"/>
          <w:color w:val="auto"/>
        </w:rPr>
        <w:t>has served as a member of our board of directors since May 2018 and is the chair of our audit committee. Mr. Felt has served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Kong, a software API management company, since January 2026. He served as the Chief Financial Officer of Domo, a cloud-based enterprise software company from August 2014 to March 2023. From June 2012 to June 2014, Mr. Felt served as the Chief Financial Officer of Ten-X, an online real estate marketplace. From October 2006 to June 2012, Mr. Felt served as the Chief Financial Officer of SuccessFactors, a cloud-based human capital management software company. Mr. Felt is currently a member of the board of directors of Veridigm Inc., a provider of practice management and electronic health records technology, Job &amp; Talend, a labor marketplace, Betterworks, a human capital management software company and Human Interest, a provider of retirement plans for small and medium sized businesses. Mr. Felt was a member of the board of directors of Evolent Health, a healthcare services company from June 2015 to January 2021. Mr. Felt holds a B.S. in accounting from the University of South Carolina and a M.B.A. from Stanford University Graduate School of Business.</w:t>
      </w:r>
    </w:p>
    <w:p>
      <w:pPr>
        <w:spacing w:after="0" w:line="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Kevin Lynch </w:t>
      </w:r>
      <w:r>
        <w:rPr>
          <w:rFonts w:ascii="Times New Roman" w:cs="Times New Roman" w:eastAsia="Times New Roman" w:hAnsi="Times New Roman"/>
          <w:sz w:val="18"/>
          <w:szCs w:val="18"/>
          <w:color w:val="auto"/>
        </w:rPr>
        <w:t>has served as a member of our board of directors since June 2020 and serves on our audit committee. Mr. Lynch, has, from January 2011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managed all investing and tax planning for the Lynch Family Office. From March 2001 to December 2010, Mr. Lynch was a partner at Jana Partners LLC, a value-oriented, event-driven fund with a sub-strategy of activist investing and was a member of the investment committee. From August 1999 to March 2001, Mr. Lynch was an associate with Sagaponack Partners LP, a private equity investment firm, from January 1995 to August 1997 he was an associate with the private equity investment firm Cornerstone Equity Investors LLC and from 1990 to 1995, Mr. Lynch worked in various accounting and investment areas of Prudential Financial, Inc. From March 2016 to March 2019, Mr. Lynch was a member of the board of directors of the Investment Technology Group, Inc., and served on the capital committee from 2016 to 2019 and the audit committee from 2018 to 2019, when the company was acquired by Virtu Financial, Inc. in March 2019. Mr. Lynch holds a B.S. in finance from Penn State University and an M.B.A. from Columbia Business School. He is a Chartered Financial Analyst and a member of the CFA Institute.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board of directors takes an enterprise-wide approach to risk management that seeks to complement our organizational objectives, strategic objectives, long-term organizational performance and the overall enhancement of shareholder value. Our board of directors believes that its oversight of the executive team’s management of risks confronting the Company is one of its most important areas of responsibility, and directly oversees corporate and product strategy, executive succession planning, and other matters reserved to the full board. In addition the full board assesses and considers the risks we face on an ongoing basis, including risks that are associated with our financial position and cash management, our competitive position and the impact of our operations on our cost structure, as well as our noncompliance with listing standards of The Nasdaq Stock Market, our delisting from the Nasdaq Stock Market, our ordinary shares trading on the OTC Expert Market, and the filing requirements of the SEC. In addition, our board of directors reviews and assesses risks associated with the current state of trade relations and global tariffs, inflationary pressures, a potential global recession, cybersecurity events, the increasing use of artificial intelligence and generative AI tools, excess and obsolete inventory, declining sales, and the impact of the political tensions, including the conflict in Russia, Belarus and Ukraine, the conflict between Iran and the United States and Israel and other tensions in the Middle East and elsewhere, as well as the relationship between the U.S. and China, and discusses these risks with management. Our board of directors’ approach to risk management includes understanding the risks we face, analyzing them with the latest information available and determining with management the steps that should be taken to manage those risks, with a view toward the appropriate level of risk for a company of our size and financial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committees of our board of directors actively manage risk within their given purview and authority.</w:t>
      </w:r>
    </w:p>
    <w:p>
      <w:pPr>
        <w:spacing w:after="0" w:line="225" w:lineRule="exact"/>
        <w:rPr>
          <w:sz w:val="20"/>
          <w:szCs w:val="20"/>
          <w:color w:val="auto"/>
        </w:rPr>
      </w:pPr>
    </w:p>
    <w:p>
      <w:pPr>
        <w:ind w:left="1020" w:right="7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has primary responsibility for assisting the board of directors with risk oversight and has the responsibility for overseeing our major financial, legal and regulatory risk exposures, which span a variety of areas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66" w:name="page67"/>
    <w:bookmarkEnd w:id="66"/>
    <w:p>
      <w:pPr>
        <w:jc w:val="both"/>
        <w:ind w:left="1020" w:right="120"/>
        <w:spacing w:after="0" w:line="270" w:lineRule="auto"/>
        <w:rPr>
          <w:sz w:val="20"/>
          <w:szCs w:val="20"/>
          <w:color w:val="auto"/>
        </w:rPr>
      </w:pPr>
      <w:r>
        <w:rPr>
          <w:rFonts w:ascii="Times New Roman" w:cs="Times New Roman" w:eastAsia="Times New Roman" w:hAnsi="Times New Roman"/>
          <w:sz w:val="17"/>
          <w:szCs w:val="17"/>
          <w:color w:val="auto"/>
        </w:rPr>
        <w:t>including our financial statements, privacy and data security, environmental risks and disclosure, corporate governance, legal and regulatory compliance, reputational and policy matters, financial reporting and cybersecurity, as well as risks associated with our internal control over financial reporting and any weaknesses in these controls. Our audit committee also oversees the steps our management has taken to monitor and control these exposures, including policies and procedures for assessing and managing risk and related compliance efforts.</w:t>
      </w:r>
    </w:p>
    <w:p>
      <w:pPr>
        <w:spacing w:after="0" w:line="3" w:lineRule="exact"/>
        <w:rPr>
          <w:sz w:val="20"/>
          <w:szCs w:val="20"/>
          <w:color w:val="auto"/>
        </w:rPr>
      </w:pPr>
    </w:p>
    <w:p>
      <w:pPr>
        <w:ind w:left="1020" w:right="20" w:hanging="503"/>
        <w:spacing w:after="0" w:line="250"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evaluates risks arising from compensation policies and practices and maintains oversight of the design and administration of compensation programs and policies.</w:t>
      </w: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committees provides reports to the full board of directors regarding these and other matters.</w:t>
      </w:r>
    </w:p>
    <w:p>
      <w:pPr>
        <w:spacing w:after="0" w:line="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led by our CEO and executive team, implements and supervises day-to-day risk management processes and reports to the board and its committees on significant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Currently, the roles of chairman of the board of directors and chief executive officer are separated. Our board of directors believes that having separate positions is appropriate for us and demonstrates our commitment to good corporate governance. Our board of directors has elected Mr. Amen chairman of the board and believes that he is the person best positioned to ensure that the time and attention of our Board is focused on the matters most critical to our business, including management oversight and risk assessment as a result of his in-depth knowledge of our business, opportunities and challenges. Our CEO is then better able to focus on our day-to-day business and corporate strategy, and convey management's perspective to the board of directors. Our board of directors believes that this current leadership structure provides effective independent oversight of management and best serves the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held sixteen (16) meetings and acted by written consent four (4) times during the year ended December 31, 2025. During 2025, each person currently serving as a director attended at least 75% of the aggregate of the total number of meetings of the board of directors and each committee of which he was a member. Each director is also encouraged to attend the Company’s annual general meeting of shareholders, although we did not hold an annual general meeting of shareholders during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and a compensation committee. Although our ordinary shares are no longer listed on Nasdaq, we continue to adhere to Nasdaq's listing rules and are relying on the controlled company exemption under the rules that do not require us to form a nominating and corporate governance committee as long as we are majority owned by Vector Capital and its affiliates, and the independent members of our board of directors are responsible for nominations of directors.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Each committee operates pursuant to a written charter that has been approved by our board of directors. A copy of the current charter for each of the audit committee and compensation committee is available on our website at </w:t>
      </w:r>
      <w:r>
        <w:rPr>
          <w:rFonts w:ascii="Times New Roman" w:cs="Times New Roman" w:eastAsia="Times New Roman" w:hAnsi="Times New Roman"/>
          <w:sz w:val="18"/>
          <w:szCs w:val="18"/>
          <w:u w:val="single" w:color="auto"/>
          <w:color w:val="0000FF"/>
        </w:rPr>
        <w:t>www.cambiumnetworks.com</w:t>
      </w:r>
      <w:r>
        <w:rPr>
          <w:rFonts w:ascii="Times New Roman" w:cs="Times New Roman" w:eastAsia="Times New Roman" w:hAnsi="Times New Roman"/>
          <w:sz w:val="18"/>
          <w:szCs w:val="18"/>
          <w:color w:val="auto"/>
        </w:rPr>
        <w:t>. We do not intend for the website address listed in Annual Report on Form 10-K to be an active link or to otherwise incorporate the contents of our website into this Annual Report on Form 10-K. The audit committee met seven (7) times and acted by written consent two (2) times during 2025, and the compensation committee met three (3) times during 2025. The members of the audit committee and compensation committee are noted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46990</wp:posOffset>
            </wp:positionV>
            <wp:extent cx="26543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430" cy="17145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380" w:type="dxa"/>
            <w:vAlign w:val="bottom"/>
          </w:tcPr>
          <w:p>
            <w:pPr>
              <w:spacing w:after="0"/>
              <w:rPr>
                <w:sz w:val="18"/>
                <w:szCs w:val="18"/>
                <w:color w:val="auto"/>
              </w:rPr>
            </w:pPr>
          </w:p>
        </w:tc>
        <w:tc>
          <w:tcPr>
            <w:tcW w:w="5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r>
      <w:tr>
        <w:trPr>
          <w:trHeight w:val="198"/>
        </w:trPr>
        <w:tc>
          <w:tcPr>
            <w:tcW w:w="5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Bruce Felt (Chair)</w:t>
            </w:r>
          </w:p>
        </w:tc>
        <w:tc>
          <w:tcPr>
            <w:tcW w:w="380" w:type="dxa"/>
            <w:vAlign w:val="bottom"/>
          </w:tcPr>
          <w:p>
            <w:pPr>
              <w:spacing w:after="0"/>
              <w:rPr>
                <w:sz w:val="17"/>
                <w:szCs w:val="17"/>
                <w:color w:val="auto"/>
              </w:rPr>
            </w:pPr>
          </w:p>
        </w:tc>
        <w:tc>
          <w:tcPr>
            <w:tcW w:w="5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Alexander Slusky (Chair)</w:t>
            </w:r>
          </w:p>
        </w:tc>
      </w:tr>
      <w:tr>
        <w:trPr>
          <w:trHeight w:val="216"/>
        </w:trPr>
        <w:tc>
          <w:tcPr>
            <w:tcW w:w="5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Vikram Verma</w:t>
            </w:r>
          </w:p>
        </w:tc>
        <w:tc>
          <w:tcPr>
            <w:tcW w:w="380" w:type="dxa"/>
            <w:vAlign w:val="bottom"/>
          </w:tcPr>
          <w:p>
            <w:pPr>
              <w:spacing w:after="0"/>
              <w:rPr>
                <w:sz w:val="18"/>
                <w:szCs w:val="18"/>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Vikram Verma</w:t>
            </w:r>
          </w:p>
        </w:tc>
      </w:tr>
      <w:tr>
        <w:trPr>
          <w:trHeight w:val="234"/>
        </w:trPr>
        <w:tc>
          <w:tcPr>
            <w:tcW w:w="5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Kevin Lynch</w:t>
            </w:r>
          </w:p>
        </w:tc>
        <w:tc>
          <w:tcPr>
            <w:tcW w:w="38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648"/>
        </w:trPr>
        <w:tc>
          <w:tcPr>
            <w:tcW w:w="5300" w:type="dxa"/>
            <w:vAlign w:val="bottom"/>
          </w:tcPr>
          <w:p>
            <w:pPr>
              <w:spacing w:after="0"/>
              <w:rPr>
                <w:sz w:val="24"/>
                <w:szCs w:val="24"/>
                <w:color w:val="auto"/>
              </w:rPr>
            </w:pPr>
          </w:p>
        </w:tc>
        <w:tc>
          <w:tcPr>
            <w:tcW w:w="5940" w:type="dxa"/>
            <w:vAlign w:val="bottom"/>
            <w:gridSpan w:val="2"/>
          </w:tcPr>
          <w:p>
            <w:pPr>
              <w:jc w:val="right"/>
              <w:ind w:right="5436"/>
              <w:spacing w:after="0"/>
              <w:rPr>
                <w:sz w:val="20"/>
                <w:szCs w:val="20"/>
                <w:color w:val="auto"/>
              </w:rPr>
            </w:pPr>
            <w:r>
              <w:rPr>
                <w:rFonts w:ascii="Times New Roman" w:cs="Times New Roman" w:eastAsia="Times New Roman" w:hAnsi="Times New Roman"/>
                <w:sz w:val="18"/>
                <w:szCs w:val="18"/>
                <w:color w:val="auto"/>
              </w:rPr>
              <w:t>65</w:t>
            </w:r>
          </w:p>
        </w:tc>
      </w:tr>
      <w:tr>
        <w:trPr>
          <w:trHeight w:val="763"/>
        </w:trPr>
        <w:tc>
          <w:tcPr>
            <w:tcW w:w="5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audit committee consists of Bruce Felt, Vikram Verma and Kevin Lynch, with Mr. Felt serving as the chair. Our board of directors has determined that each of Messrs. Felt, Verma and Lynch are independent within the meaning of Rule 10A-3 under the Exchange Act. Our board of directors has also determined that Mr. Felt is an “audit committee financial expert” as defined by the applicable SEC rules and has the requisite financial sophistication as defined under the applicable rules and regulations of Nasdaq.</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our audit committee charter, our audit committee is responsible for, among other things:</w:t>
      </w:r>
    </w:p>
    <w:p>
      <w:pPr>
        <w:spacing w:after="0" w:line="117"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accounting and financial reporting processes and our internal controls over financial reporting;</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registered public accounting firm’s qualifications, independence and performance;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and approving the compensation of the independent registered public accounting firm;</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the independent registered public accounting firm to perform any proposed permissible non-audit services;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consolidated financial statements;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critical accounting policies and estimates and internal controls over financial reporting;</w:t>
      </w:r>
    </w:p>
    <w:p>
      <w:pPr>
        <w:spacing w:after="0" w:line="9" w:lineRule="exact"/>
        <w:rPr>
          <w:rFonts w:ascii="Times New Roman" w:cs="Times New Roman" w:eastAsia="Times New Roman" w:hAnsi="Times New Roman"/>
          <w:sz w:val="18"/>
          <w:szCs w:val="18"/>
          <w:color w:val="auto"/>
        </w:rPr>
      </w:pPr>
    </w:p>
    <w:p>
      <w:pPr>
        <w:ind w:left="760" w:right="640" w:hanging="378"/>
        <w:spacing w:after="0" w:line="250"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the annual audit and the reviews of our quarterly consolidated financial statements;</w:t>
      </w: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aiding the board in matters of risk management including privacy and data security;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environmental, social and governance initiatives;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designated to the audit committee by our board of directors from time to time.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standards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compensation committee consists of Alexander Slusky and Vikram Verma, with Mr. Slusky serving as chair. Although our ordinary shares are no longer listed on Nasdaq, we continue to adhere to Nasdaq’s listing rules and rely on certain exemptions afforded to controlled companies under the Nasdaq corporate governance rules, which exempt us from the requirement that we have a compensation committee composed entirely of independent directors. We intend to comply with future requirements to the extent they become applicable to us. We believe the inclusion of Mr. Slusky, a non-independent director, as chairman of our compensation committee is in the best interests of our company and shareholders because Mr. Slusky has relevant skills and experience that makes him qualified to research, assess and recommend executive compensation plans, and create competitive retention strategies, balancing our financial goals with investor expectations as a result of his role working with various portfolio companies of Vector Capital, where he is Chief Investment Officer.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our compensation committee charter, our compensation committee is responsible for, among other things:</w:t>
      </w:r>
    </w:p>
    <w:p>
      <w:pPr>
        <w:spacing w:after="0" w:line="117" w:lineRule="exact"/>
        <w:rPr>
          <w:sz w:val="20"/>
          <w:szCs w:val="20"/>
          <w:color w:val="auto"/>
        </w:rPr>
      </w:pPr>
    </w:p>
    <w:p>
      <w:pPr>
        <w:ind w:left="760" w:right="520" w:hanging="378"/>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policies relating to compensation and benefits of our officers and employees, including reviewing and approving corporate goals and objectives relevant to compensation of the Chief Executive Officer and other senior officers;</w:t>
      </w: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Chief Executive Officer and other senior officers in light of those goals and objectives;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of the Chief Executive Officer and other senior officers based on such evaluations;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issuance of options and restricted share units and any other equity awards under our equity-based incentive plans;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designated to the compensation committee by our board of directors from time to time.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standards of the SEC. The compensation committee may form and delegate authority to subcommittees consisting of one or more members when it deems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none of the members of our compensation committee is or has been an officer or employee of the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business conduct and ethics, which establishes the standards of ethical conduct applicable to all of our directors, officers and employees, and a code of ethics for senior financial officers that applies to our Chief Executive Officer, the Chief Financial Officer, the Chief Accounting Officer, the Controller and persons performing similar functions. A copy of our code of business conduct and ethics is posted on our website, </w:t>
      </w:r>
      <w:r>
        <w:rPr>
          <w:rFonts w:ascii="Times New Roman" w:cs="Times New Roman" w:eastAsia="Times New Roman" w:hAnsi="Times New Roman"/>
          <w:sz w:val="18"/>
          <w:szCs w:val="18"/>
          <w:u w:val="single" w:color="auto"/>
          <w:color w:val="0000FF"/>
        </w:rPr>
        <w:t>www.cambiumnetworks.com</w:t>
      </w:r>
      <w:r>
        <w:rPr>
          <w:rFonts w:ascii="Times New Roman" w:cs="Times New Roman" w:eastAsia="Times New Roman" w:hAnsi="Times New Roman"/>
          <w:sz w:val="18"/>
          <w:szCs w:val="18"/>
          <w:color w:val="auto"/>
        </w:rPr>
        <w:t>. In addition, we intend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8" w:name="page69"/>
    <w:bookmarkEnd w:id="68"/>
    <w:p>
      <w:pPr>
        <w:ind w:right="400"/>
        <w:spacing w:after="0" w:line="266" w:lineRule="auto"/>
        <w:rPr>
          <w:sz w:val="20"/>
          <w:szCs w:val="20"/>
          <w:color w:val="auto"/>
        </w:rPr>
      </w:pPr>
      <w:r>
        <w:rPr>
          <w:rFonts w:ascii="Times New Roman" w:cs="Times New Roman" w:eastAsia="Times New Roman" w:hAnsi="Times New Roman"/>
          <w:sz w:val="18"/>
          <w:szCs w:val="18"/>
          <w:color w:val="auto"/>
        </w:rPr>
        <w:t>post on our website all disclosures that are required by law or the listing rules of any exchange upon which our shares are traded concerning any amendments to, or waivers from, any provision of the code of business conduct. The reference to our web address does not constitute incorporation by reference of the information contained at or available through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full board of directors is responsible for identifying individuals qualified to serve as directors, and for selecting nominees for election as directors, except where we are legally required by contract, law or otherwise to provide third parties with the right to nominate. The process followed by our board of directors to identify and evaluate director candidates includes requests to other board members as well as other existing contacts for recommendations, meetings from time to time to evaluate biographical information and background material relating to potential candidates, and interviews of selected candidates. Our board may use a third-party search firm in those situations where particular qualifications are required or where existing contacts are not sufficient to identify an appropriate candidate.</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Shareholders may recommend individuals for consideration as potential director candidates. Any such proposals should be submitted to our corporate secretary at our principal executive offices and should include appropriate biographical and background material to allow our board of directors to properly evaluate the potential director candidate and the number of our shares beneficially owned by the shareholder proposing the candidate. Assuming that biographical and background material has been provided on a timely basis, any recommendations received from shareholders will be evaluated in the same manner as other potential nominees considered by our board of directors. If our board of directors determines to nominate a shareholder-recommended candidate and recommends his or her election, then his or her name will be included on our proxy card for our next annual meeting of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Any shareholder or other interested party who wishes to communicate with our board of directors or any individual director may send written communications to our board of directors or such director c/o Corporate Secretary, Cambium Networks Corporation, c/o Cambium Networks, Inc., 2000 Center Drive, Suite East A401, Hoffman Estates, Illinois 60192, attention Chief Legal Officer. The communication must include the shareholder’s name, address and an indication that the nominating person is our shareholder. The Corporate Secretary will review any communications received from shareholders and will forward such communications to the appropriate director or directors, or committee of our board of directors, based on the subject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Reports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members of our board of directors, executive officers and beneficial holders of more than ten percent (10%) of the outstanding ordinary shares are subject to the reporting requirements of Section 16(a) of the Securities Exchange Act of 1934, or the Exchange Act, which requires them to file reports with respect to their ownership of our securities. To our knowledge, based solely upon the copies of Section 16(a) reports and written representations which we received from such persons for their 2024 fiscal year transactions in our ordinary shares and their ordinary shares holdings, we believe that all reporting requirements under Section 16(a) for 2024 were met in a timely manner by our directors, executive officers and greater than ten percent (10%) beneficial owners.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executive officers of the Company are elected each year at the meeting of our board, which precedes the annual general meeting of shareholders, and at other board meetings, as appropriate. As of April 20, 2026, the executive officers of the Company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Morgan Kurk</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Mitchell Cohen*</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70</w:t>
            </w: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Scott Imhoff</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Vice President, Product Management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Sally Rau</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67</w:t>
            </w: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Senior Vice President, Chief Legal and HR Officer</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Vibhu Vivek</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58</w:t>
            </w:r>
          </w:p>
        </w:tc>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Vice President, Products</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*Mitchell Cohen joined as Interim Chief Financial Officer effective December 18, 2025.</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Morgan Kurk </w:t>
      </w:r>
      <w:r>
        <w:rPr>
          <w:rFonts w:ascii="Times New Roman" w:cs="Times New Roman" w:eastAsia="Times New Roman" w:hAnsi="Times New Roman"/>
          <w:sz w:val="18"/>
          <w:szCs w:val="18"/>
          <w:color w:val="auto"/>
        </w:rPr>
        <w:t>has been our President and Chief Executive Officer and a member of our board of directors since August 2023. From September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2023 he was President, Personal Protection Equipment at Honeywell. Prior to that, Mr. Kurk held roles at CommScope, as Chief Technology Officer, Executive Vice President, and Executive Vice President of the Broadband Segment from April 2019 to July 2021, Chief Operating Officer from April 2018 to April 2019, Chief Technology Officer from October 2015 to January 2018, Senior Vice President, Wireless from April 2012 to October 2015, and Senior Vice President, Enterprise from</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ind w:right="180"/>
        <w:spacing w:after="0" w:line="282" w:lineRule="auto"/>
        <w:rPr>
          <w:sz w:val="20"/>
          <w:szCs w:val="20"/>
          <w:color w:val="auto"/>
        </w:rPr>
      </w:pPr>
      <w:r>
        <w:rPr>
          <w:rFonts w:ascii="Times New Roman" w:cs="Times New Roman" w:eastAsia="Times New Roman" w:hAnsi="Times New Roman"/>
          <w:sz w:val="18"/>
          <w:szCs w:val="18"/>
          <w:color w:val="auto"/>
        </w:rPr>
        <w:t>November 2009 to July 2012. Mr. Kurk holds an M.S.E.E. Electromagnetics and Optics from the University of Michigan, and an M.B.A., Marketing and Finance from Northwestern University, Kellogg School of Management.</w:t>
      </w:r>
    </w:p>
    <w:p>
      <w:pPr>
        <w:spacing w:after="0" w:line="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Mitchell Cohen </w:t>
      </w:r>
      <w:r>
        <w:rPr>
          <w:rFonts w:ascii="Times New Roman" w:cs="Times New Roman" w:eastAsia="Times New Roman" w:hAnsi="Times New Roman"/>
          <w:sz w:val="18"/>
          <w:szCs w:val="18"/>
          <w:color w:val="auto"/>
        </w:rPr>
        <w:t>has served as our interim Chief Financial Officer since December 18, 2025. Mr. Cohen has extensive public company, private equity,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high-growth/startup financial organization leadership experience spanning various industries, with experience driving transformational financial performance, delivering increases in shareholder value, and leading complex corporate transactions, including acquisitions and divestitures, debt financing, restructuring, and liquidity management. He is adept at stepping into challenging environments to stabilize operations, restore confidence, and accelerate performance improvements. He has provided chief financial officer and consultant services to companies since 2018 and acted as interim chief financial officer to a variety of companies since 2022, serving in such capacity for Cerence, Redbox Entertainment, Blue Apron and Cytodyn. He holds a Bachelor of Arts, Accounting &amp; Economics from Queens College.</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Scott Imhoff </w:t>
      </w:r>
      <w:r>
        <w:rPr>
          <w:rFonts w:ascii="Times New Roman" w:cs="Times New Roman" w:eastAsia="Times New Roman" w:hAnsi="Times New Roman"/>
          <w:sz w:val="18"/>
          <w:szCs w:val="18"/>
          <w:color w:val="auto"/>
        </w:rPr>
        <w:t>has served as our Senior Vice President, Product Management since July 2016. Mr. Imhoff joined us in October 2011 from Motorola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served in a variety of business development positions, including Director of Business Development, Vice President of Global Partner Development, and Vice President and Senior Vice President of Product Management. Mr. Imhoff holds a B.S. in Economics from Iowa State University and a M.B.A. from Lake Forest Graduate School of Management.</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Sally Rau </w:t>
      </w:r>
      <w:r>
        <w:rPr>
          <w:rFonts w:ascii="Times New Roman" w:cs="Times New Roman" w:eastAsia="Times New Roman" w:hAnsi="Times New Roman"/>
          <w:sz w:val="18"/>
          <w:szCs w:val="18"/>
          <w:color w:val="auto"/>
        </w:rPr>
        <w:t>has served as our General Counsel since February 2015 and as our Chief Legal and HR Officer since August 2024. In the period between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2015, Ms. Rau was a consultant for law firms in the San Francisco Bay Area. Prior to 2014, Ms. Rau served as General Counsel of Velti, a provider of mobile marketing and advertising technology and solutions, a position she held from August 2010 until December 2013. From June 1998 until September 2010, Ms. Rau was a lawyer, and, from 2000 a partner, at DLA Piper LLP, a global law firm. Ms. Rau holds a B.A. in History from the University of California, Berkeley, and a J.D. from the University of Oregon School of Law. Ms. Rau is a member of the State Bar of California.</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Vibhu Vivek </w:t>
      </w:r>
      <w:r>
        <w:rPr>
          <w:rFonts w:ascii="Times New Roman" w:cs="Times New Roman" w:eastAsia="Times New Roman" w:hAnsi="Times New Roman"/>
          <w:sz w:val="18"/>
          <w:szCs w:val="18"/>
          <w:color w:val="auto"/>
        </w:rPr>
        <w:t>has served as our Senior Vice President, Products since June 2013. Prior to joining us, he served as Senior Director of Engineering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2007 to November 2008, and Vice President of Engineering from November 2008 until June 2013, for the Enterprise Network and Communications Business Unit within Motorola Solutions. Mr. Vivek holds a B.S. in engineering from the Indian Institute of Technology Delhi, a M.S. in engineering from Indian Institute of Technology and a M.S. in civil engineering from the University of Maine.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6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our securities that applies to the Company and its personnel, including officers, directors, all other employees, and other covered persons (the “Insider Trading Policy”). The Insider Trading Policy was filed as an exhibit to our annual report on Form 10-K for the year ended December 31, 2024.</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Insider Trading Policy prohibits our officers, directors and all other employees from trading in our securities or in the securities of another company while in possession of material non-public information. The Insider Trading Policy also prohibits disclosing material nonpublic information about us or another company, to others who may trade on the basis of that information, and provides information about our quarterly restricted trading periods.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employees, consultants, contractors and advisors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policies were established in part because transactions in derivative securities may reflect a short-term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9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our Insider Trading Policy prohibits our employees from pledging the Company’s securities as collateral for loans. Short sales with respect to the Company’s securities are prohibited under our Insider Trading Policy.</w:t>
      </w:r>
    </w:p>
    <w:p>
      <w:pPr>
        <w:spacing w:after="0" w:line="9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Although our insider trading policy also includes certain requirements relating to Rule 10b5-1 trading plans, none of our officers, directors or other employees currently has in place a Rule 10b5-1 trading plan.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in the fiscal year ended December 31, 2025 for our “named executive officers.” As a smaller reporting company, the SEC defines our named executive officers as (i) any individual serving as our Chief Executive Officer during the fiscal year; (ii) our two most highly compensated executive officers other than the Chief Executive Officer, who were serving as such as of December 31, 2025; and (iii) up to two additional individuals for whom disclosure would have been provided pursuant to (ii) but for the fact they were not serving as an executive officer at the end of the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section provides a discussion of the compensation paid or awarded to our President and Chief Executive Officer and our two other most highly compensated executive officers as of December 31, 2025. We refer to these individuals as our “named executive officers.” As a “smaller reporting company” and pursuant to the rules of the SEC, the Company is providing compensation information for the following individuals as our named executive officers:</w:t>
      </w:r>
    </w:p>
    <w:p>
      <w:pPr>
        <w:spacing w:after="0" w:line="180"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Kurk, President and Chief Executive Officer and Director</w:t>
      </w:r>
    </w:p>
    <w:p>
      <w:pPr>
        <w:spacing w:after="0" w:line="27"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Vibhu Vivek, Senior Vice President, Product</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Sally Rau, Chief Legal and HR Officer</w:t>
      </w:r>
    </w:p>
    <w:p>
      <w:pPr>
        <w:spacing w:after="0" w:line="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John Waldron, former Acting Chief Financial Officer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1" w:lineRule="exact"/>
        <w:rPr>
          <w:sz w:val="20"/>
          <w:szCs w:val="20"/>
          <w:color w:val="auto"/>
        </w:rPr>
      </w:pPr>
    </w:p>
    <w:p>
      <w:pPr>
        <w:ind w:right="80" w:firstLine="8"/>
        <w:spacing w:after="0" w:line="294" w:lineRule="auto"/>
        <w:tabs>
          <w:tab w:leader="none" w:pos="17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Waldron served as Vice President, Finance and Accounting from May 1, 2025, until appointed as our Acting Chief Financial Officer from August 26, 2025 to December 18, 2025, and following the appointment of Mitchell Cohen as interim Chief Financial Officer on December 18, 2025, Mr. Waldron continues to serve as our Vice President, Finance and Accounting.</w:t>
      </w:r>
    </w:p>
    <w:p>
      <w:pPr>
        <w:spacing w:after="0" w:line="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current executive compensation program is intended to align executive compensation with our business objectives and with the interests of our shareholders, and to enable us to attract, retain and reward executive officers who contribute to our long-term success. The compensation paid or awarded to our named executive officers is generally based on the assessment of each individual’s performance compared against the business objectives established for the fiscal year as well as our historical compensation practices, the overall financial success of the Company, and our ability to meet shareholder objectives. We provide each of our named executive officers, other than John Waldron, with an annual base salary, annual incentive compensation and long-term incentives. John Waldron, hired as a consultant to the Company through a third party consulting firm, is paid an hourly rate and does not participate in any incentive compensation programs or other benefits offered by the Company.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our 2025 executive compensation program are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 and Management</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its charter, the compensation committee is responsible for reviewing, evaluating, and approving the compensation arrangements of our executive officers and for establishing and maintaining our executive compensation policies and practices. Our compensation committee seeks input and receives recommendations from members of our executive management team when discussing the performance and compensation of other executive officers, and in assessing the financial and accounting implications of our compensation program and hiring decisions. Although the compensation committee is authorized to engage its own independent advisors to provide advice on matters related to executive compensation and general compensation programs, no compensation consultants were engaged with respect to our 2025 compensation program. For additional information on the compensation committee, see “Committees of the Board of Directors — Compensation Committee” elsewhere in this annual report.</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2025, our compensation committee reviewed and determined our executive compensation, including base salaries, bonuses, and equity awards, as applicable, to further align our compensation program with shareholder interests and our long-term business and operational goals, with the goal of providing appropriate compensation and incentives for our executive officers in light of the Company's financial situation. The compensation committee reviewed the performance of our executive officers, taking into consideration financial, operational, customer, strategic, product, and competitive factors.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role of management is to preliminarily design our executive compensation program, policies, and governance, and to make recommendations to the compensation committee regarding these matters, with the ultimate approval of the compensation program made by the compensation committee. Management reviews the effectiveness of our compensation program, including competitiveness and alignment with our objectives. Management also recommends changes to our compensation program to help promote achievement of program objectives and reviews and makes recommendations with respect to the adoption and approval of, or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1" w:name="page72"/>
    <w:bookmarkEnd w:id="71"/>
    <w:p>
      <w:pPr>
        <w:ind w:right="320"/>
        <w:spacing w:after="0" w:line="261" w:lineRule="auto"/>
        <w:rPr>
          <w:sz w:val="20"/>
          <w:szCs w:val="20"/>
          <w:color w:val="auto"/>
        </w:rPr>
      </w:pPr>
      <w:r>
        <w:rPr>
          <w:rFonts w:ascii="Times New Roman" w:cs="Times New Roman" w:eastAsia="Times New Roman" w:hAnsi="Times New Roman"/>
          <w:sz w:val="18"/>
          <w:szCs w:val="18"/>
          <w:color w:val="auto"/>
        </w:rPr>
        <w:t>amendments to, company-wide incentive compensation plans. Except with respect to their individual compensation, our Chief Executive Officer, Chief Financial Officer and Chief Legal and HR Officer made compensation recommendations to the compensation committee with respect to base salaries, bonuses, and equity awards for our executive officers, including our named executive officers, which were taken into account by the compensation committee in making its decisions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with us. In 2025, we did not increase base salaries for our executive officers given our financial position, and accordingly annual base salaries for Mr. Kurk, Mr. Vivek, and Ms. Rau remained at prior year levels, of $500,000, $413,700, and $337,080 respectively. We paid a third party consulting firm for Mr. Waldron's services, resulting in total compensation of $540,400 paid to the consulting firm during 2025 for Mr. Waldron's services. Please see the “Salary” column in the 2025 Summary Compensation Table for the base salary amounts paid with respect to each named executive officer's service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incentive compensation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provide members of our senior leadership team with an opportunity to earn annual cash incentive compensation, either through our annual incentive program or through a commissions-based program for members of our sales team. Mr. Waldron, as a consultant, did not participate in our annual incentive program.</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Annual incentive compensation holds executives accountable, rewards the executives based on actual business results and helps create a “pay for performance” culture. Our annual incentive program provides variable compensation based on the achievement of performance goals established by the compensation committee at the beginning of each fiscal year. Under the 2025 annual incentive compensation program applicable to our named executive officers, variable compensation was payable based on the achievement of certain corporate financial performance measures relating to (i) revenues and (ii) earnings before interest, taxes, depreciation and amortization (“EBITDA”) as reported by the Company in its year-end financial results. The weighting of targets was set at 60% on achievement of the revenue target and 40% on achievement of the EBITDA target.</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2025 the variable compensation opportunities for Mr. Kurk, Mr. Vivek and Ms. Rau were 100%, 40% and 40% of their respective base salaries, respectively. Mr. Waldron did not participate in our variable compensation programs. Following the end of 2025, the compensation committee reviewed our achievements against the revenue and EBITDA financial performance measures and determined that we did not meet target levels of achievement. As a result, none of the named executive officers received an annual cash incentive payment for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shareholders and to further focus our executive officers on our long-term performance, we generally include equity compensation as a key component of our executive compensation program, however, during 2025, we did not grant equity awards to any of our named executive officers.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see the “Outstanding Equity Awards at 2025 Fiscal Year-End” table for information regarding outstanding equity awards held by our named executive officers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Equity Award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2023, we adopted a clawback policy in accordance with the SEC and Nasdaq requirements under the Dodd-Frank Wall Street Reform and Consumer Protection Act. This policy provides for the non-discretionary recovery of excess incentive-based compensation from current and former executive officers in the event of an accounting restatement, whether or not the executive officer was at fault for the restatement, in accordance with the SEC and Nasdaq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our securities that applies to the Company and its personnel, including officers, directors, all other employees, and other covered persons (the “Insider Trading Policy”).</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Insider Trading Policy prohibits our officers, directors and all other employees from trading in our securities or in the securities of another company while in possession of material non-public information. The Insider Trading Policy also prohibits disclosing material nonpublic information about us or another company, to others who may trade on the basis of that information, and provides information about our quarterly restricted trading periods.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or Pledging Policies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employees, consultants, contractors and advisors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policies were established in part because transactions in derivative securities may reflect a short-term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our Insider Trading Policy prohibits our employees from pledging the Company’s securities as collateral for loans. Short sales with respect to the Company’s securities are prohibited under our Insider Trading Policy.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for services performed in the years ended December 31, 2025 and, to the extent required by the SEC disclosure rules, 2024.</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w w:val="98"/>
              </w:rPr>
              <w:t>Non-equity</w:t>
            </w: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00" w:type="dxa"/>
            <w:vAlign w:val="bottom"/>
          </w:tcPr>
          <w:p>
            <w:pPr>
              <w:spacing w:after="0"/>
              <w:rPr>
                <w:sz w:val="13"/>
                <w:szCs w:val="13"/>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20" w:type="dxa"/>
            <w:vAlign w:val="bottom"/>
          </w:tcPr>
          <w:p>
            <w:pPr>
              <w:spacing w:after="0"/>
              <w:rPr>
                <w:sz w:val="13"/>
                <w:szCs w:val="13"/>
                <w:color w:val="auto"/>
              </w:rPr>
            </w:pPr>
          </w:p>
        </w:tc>
        <w:tc>
          <w:tcPr>
            <w:tcW w:w="82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Salary ($)</w:t>
            </w:r>
          </w:p>
        </w:tc>
        <w:tc>
          <w:tcPr>
            <w:tcW w:w="240" w:type="dxa"/>
            <w:vAlign w:val="bottom"/>
          </w:tcPr>
          <w:p>
            <w:pPr>
              <w:spacing w:after="0"/>
              <w:rPr>
                <w:sz w:val="13"/>
                <w:szCs w:val="13"/>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Bonus ($)</w:t>
            </w:r>
          </w:p>
        </w:tc>
        <w:tc>
          <w:tcPr>
            <w:tcW w:w="2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7"/>
              </w:rPr>
              <w:t>Share awards ($)</w:t>
            </w:r>
          </w:p>
        </w:tc>
        <w:tc>
          <w:tcPr>
            <w:tcW w:w="220" w:type="dxa"/>
            <w:vAlign w:val="bottom"/>
          </w:tcPr>
          <w:p>
            <w:pPr>
              <w:spacing w:after="0"/>
              <w:rPr>
                <w:sz w:val="13"/>
                <w:szCs w:val="13"/>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99"/>
              </w:rPr>
              <w:t>Option awards</w:t>
            </w:r>
          </w:p>
        </w:tc>
        <w:tc>
          <w:tcPr>
            <w:tcW w:w="220" w:type="dxa"/>
            <w:vAlign w:val="bottom"/>
          </w:tcPr>
          <w:p>
            <w:pPr>
              <w:spacing w:after="0"/>
              <w:rPr>
                <w:sz w:val="13"/>
                <w:szCs w:val="13"/>
                <w:color w:val="auto"/>
              </w:rPr>
            </w:pPr>
          </w:p>
        </w:tc>
        <w:tc>
          <w:tcPr>
            <w:tcW w:w="940" w:type="dxa"/>
            <w:vAlign w:val="bottom"/>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w w:val="97"/>
              </w:rPr>
              <w:t>incentive plan</w:t>
            </w:r>
          </w:p>
        </w:tc>
        <w:tc>
          <w:tcPr>
            <w:tcW w:w="220" w:type="dxa"/>
            <w:vAlign w:val="bottom"/>
          </w:tcPr>
          <w:p>
            <w:pPr>
              <w:spacing w:after="0"/>
              <w:rPr>
                <w:sz w:val="13"/>
                <w:szCs w:val="13"/>
                <w:color w:val="auto"/>
              </w:rPr>
            </w:pPr>
          </w:p>
        </w:tc>
        <w:tc>
          <w:tcPr>
            <w:tcW w:w="96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220" w:type="dxa"/>
            <w:vAlign w:val="bottom"/>
          </w:tcPr>
          <w:p>
            <w:pPr>
              <w:spacing w:after="0"/>
              <w:rPr>
                <w:sz w:val="13"/>
                <w:szCs w:val="13"/>
                <w:color w:val="auto"/>
              </w:rPr>
            </w:pPr>
          </w:p>
        </w:tc>
        <w:tc>
          <w:tcPr>
            <w:tcW w:w="86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7"/>
                <w:szCs w:val="7"/>
                <w:b w:val="1"/>
                <w:bCs w:val="1"/>
                <w:color w:val="auto"/>
              </w:rPr>
              <w:t>(1)</w:t>
            </w:r>
          </w:p>
        </w:tc>
        <w:tc>
          <w:tcPr>
            <w:tcW w:w="220" w:type="dxa"/>
            <w:vAlign w:val="bottom"/>
          </w:tcPr>
          <w:p>
            <w:pPr>
              <w:spacing w:after="0"/>
              <w:rPr>
                <w:sz w:val="9"/>
                <w:szCs w:val="9"/>
                <w:color w:val="auto"/>
              </w:rPr>
            </w:pPr>
          </w:p>
        </w:tc>
        <w:tc>
          <w:tcPr>
            <w:tcW w:w="820" w:type="dxa"/>
            <w:vAlign w:val="bottom"/>
            <w:tcBorders>
              <w:bottom w:val="single" w:sz="8" w:color="auto"/>
            </w:tcBorders>
          </w:tcPr>
          <w:p>
            <w:pPr>
              <w:jc w:val="right"/>
              <w:ind w:right="242"/>
              <w:spacing w:after="0" w:line="108" w:lineRule="exact"/>
              <w:rPr>
                <w:sz w:val="20"/>
                <w:szCs w:val="20"/>
                <w:color w:val="auto"/>
              </w:rPr>
            </w:pP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2"/>
                <w:szCs w:val="12"/>
                <w:b w:val="1"/>
                <w:bCs w:val="1"/>
                <w:color w:val="auto"/>
                <w:vertAlign w:val="superscript"/>
              </w:rPr>
              <w:t>(2)</w:t>
            </w:r>
          </w:p>
        </w:tc>
        <w:tc>
          <w:tcPr>
            <w:tcW w:w="220" w:type="dxa"/>
            <w:vAlign w:val="bottom"/>
          </w:tcPr>
          <w:p>
            <w:pPr>
              <w:spacing w:after="0"/>
              <w:rPr>
                <w:sz w:val="9"/>
                <w:szCs w:val="9"/>
                <w:color w:val="auto"/>
              </w:rPr>
            </w:pPr>
          </w:p>
        </w:tc>
        <w:tc>
          <w:tcPr>
            <w:tcW w:w="940" w:type="dxa"/>
            <w:vAlign w:val="bottom"/>
            <w:tcBorders>
              <w:bottom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compensation ($)</w:t>
            </w:r>
          </w:p>
        </w:tc>
        <w:tc>
          <w:tcPr>
            <w:tcW w:w="220" w:type="dxa"/>
            <w:vAlign w:val="bottom"/>
          </w:tcPr>
          <w:p>
            <w:pPr>
              <w:spacing w:after="0"/>
              <w:rPr>
                <w:sz w:val="9"/>
                <w:szCs w:val="9"/>
                <w:color w:val="auto"/>
              </w:rPr>
            </w:pPr>
          </w:p>
        </w:tc>
        <w:tc>
          <w:tcPr>
            <w:tcW w:w="9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9"/>
                <w:szCs w:val="9"/>
                <w:b w:val="1"/>
                <w:bCs w:val="1"/>
                <w:color w:val="auto"/>
              </w:rPr>
              <w:t xml:space="preserve">compensation </w:t>
            </w:r>
            <w:r>
              <w:rPr>
                <w:rFonts w:ascii="Times New Roman" w:cs="Times New Roman" w:eastAsia="Times New Roman" w:hAnsi="Times New Roman"/>
                <w:sz w:val="9"/>
                <w:szCs w:val="9"/>
                <w:b w:val="1"/>
                <w:bCs w:val="1"/>
                <w:u w:val="single" w:color="auto"/>
                <w:color w:val="auto"/>
              </w:rPr>
              <w:t>($</w:t>
            </w:r>
            <w:r>
              <w:rPr>
                <w:rFonts w:ascii="Times New Roman" w:cs="Times New Roman" w:eastAsia="Times New Roman" w:hAnsi="Times New Roman"/>
                <w:sz w:val="9"/>
                <w:szCs w:val="9"/>
                <w:b w:val="1"/>
                <w:bCs w:val="1"/>
                <w:color w:val="auto"/>
              </w:rPr>
              <w:t xml:space="preserve">) </w:t>
            </w:r>
            <w:r>
              <w:rPr>
                <w:rFonts w:ascii="Times New Roman" w:cs="Times New Roman" w:eastAsia="Times New Roman" w:hAnsi="Times New Roman"/>
                <w:sz w:val="12"/>
                <w:szCs w:val="12"/>
                <w:b w:val="1"/>
                <w:bCs w:val="1"/>
                <w:color w:val="auto"/>
                <w:vertAlign w:val="superscript"/>
              </w:rPr>
              <w:t>(3)</w:t>
            </w:r>
          </w:p>
        </w:tc>
        <w:tc>
          <w:tcPr>
            <w:tcW w:w="2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96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Morgan Kurk</w:t>
            </w:r>
          </w:p>
        </w:tc>
        <w:tc>
          <w:tcPr>
            <w:tcW w:w="740" w:type="dxa"/>
            <w:vAlign w:val="bottom"/>
            <w:gridSpan w:val="2"/>
            <w:shd w:val="clear" w:color="auto" w:fill="CFF0FC"/>
          </w:tcPr>
          <w:p>
            <w:pPr>
              <w:ind w:left="340"/>
              <w:spacing w:after="0" w:line="110" w:lineRule="exact"/>
              <w:rPr>
                <w:sz w:val="20"/>
                <w:szCs w:val="20"/>
                <w:color w:val="auto"/>
              </w:rPr>
            </w:pPr>
            <w:r>
              <w:rPr>
                <w:rFonts w:ascii="Times New Roman" w:cs="Times New Roman" w:eastAsia="Times New Roman" w:hAnsi="Times New Roman"/>
                <w:sz w:val="12"/>
                <w:szCs w:val="12"/>
                <w:color w:val="auto"/>
              </w:rPr>
              <w:t>2025</w:t>
            </w:r>
          </w:p>
        </w:tc>
        <w:tc>
          <w:tcPr>
            <w:tcW w:w="94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500,000</w:t>
            </w: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ind w:left="56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940" w:type="dxa"/>
            <w:vAlign w:val="bottom"/>
            <w:shd w:val="clear" w:color="auto" w:fill="CFF0FC"/>
          </w:tcPr>
          <w:p>
            <w:pPr>
              <w:ind w:left="80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3,846</w:t>
            </w:r>
          </w:p>
        </w:tc>
        <w:tc>
          <w:tcPr>
            <w:tcW w:w="10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503,846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President and Chief Executive Officer</w:t>
            </w:r>
          </w:p>
        </w:tc>
        <w:tc>
          <w:tcPr>
            <w:tcW w:w="7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2024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1,298,187</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13,800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1,811,987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Vibhu Vivek</w:t>
            </w:r>
          </w:p>
        </w:tc>
        <w:tc>
          <w:tcPr>
            <w:tcW w:w="740" w:type="dxa"/>
            <w:vAlign w:val="bottom"/>
            <w:gridSpan w:val="2"/>
          </w:tcPr>
          <w:p>
            <w:pPr>
              <w:ind w:left="340"/>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413,700</w:t>
            </w:r>
          </w:p>
        </w:tc>
        <w:tc>
          <w:tcPr>
            <w:tcW w:w="240" w:type="dxa"/>
            <w:vAlign w:val="bottom"/>
          </w:tcPr>
          <w:p>
            <w:pPr>
              <w:spacing w:after="0"/>
              <w:rPr>
                <w:sz w:val="10"/>
                <w:szCs w:val="10"/>
                <w:color w:val="auto"/>
              </w:rPr>
            </w:pP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940" w:type="dxa"/>
            <w:vAlign w:val="bottom"/>
          </w:tcPr>
          <w:p>
            <w:pPr>
              <w:ind w:left="80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14,300</w:t>
            </w:r>
          </w:p>
        </w:tc>
        <w:tc>
          <w:tcPr>
            <w:tcW w:w="10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428,000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Senior Vice President, Products</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413,700</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84,466</w:t>
            </w:r>
          </w:p>
        </w:tc>
        <w:tc>
          <w:tcPr>
            <w:tcW w:w="220" w:type="dxa"/>
            <w:vAlign w:val="bottom"/>
          </w:tcPr>
          <w:p>
            <w:pPr>
              <w:spacing w:after="0"/>
              <w:rPr>
                <w:sz w:val="13"/>
                <w:szCs w:val="13"/>
                <w:color w:val="auto"/>
              </w:rPr>
            </w:pPr>
          </w:p>
        </w:tc>
        <w:tc>
          <w:tcPr>
            <w:tcW w:w="940" w:type="dxa"/>
            <w:vAlign w:val="bottom"/>
          </w:tcPr>
          <w:p>
            <w:pPr>
              <w:ind w:left="800"/>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605,966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Sally Rau</w:t>
            </w:r>
          </w:p>
        </w:tc>
        <w:tc>
          <w:tcPr>
            <w:tcW w:w="740" w:type="dxa"/>
            <w:vAlign w:val="bottom"/>
            <w:gridSpan w:val="2"/>
            <w:shd w:val="clear" w:color="auto" w:fill="CFF0FC"/>
          </w:tcPr>
          <w:p>
            <w:pPr>
              <w:ind w:left="340"/>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337,080</w:t>
            </w: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940" w:type="dxa"/>
            <w:vAlign w:val="bottom"/>
            <w:shd w:val="clear" w:color="auto" w:fill="CFF0FC"/>
          </w:tcPr>
          <w:p>
            <w:pPr>
              <w:ind w:left="80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11,423</w:t>
            </w:r>
          </w:p>
        </w:tc>
        <w:tc>
          <w:tcPr>
            <w:tcW w:w="10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348,503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Chief Legal and HR Officer</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John Waldron </w:t>
            </w:r>
            <w:r>
              <w:rPr>
                <w:rFonts w:ascii="Times New Roman" w:cs="Times New Roman" w:eastAsia="Times New Roman" w:hAnsi="Times New Roman"/>
                <w:sz w:val="16"/>
                <w:szCs w:val="16"/>
                <w:color w:val="auto"/>
                <w:vertAlign w:val="superscript"/>
              </w:rPr>
              <w:t>(4)</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540,500</w:t>
            </w:r>
          </w:p>
        </w:tc>
        <w:tc>
          <w:tcPr>
            <w:tcW w:w="240" w:type="dxa"/>
            <w:vAlign w:val="bottom"/>
          </w:tcPr>
          <w:p>
            <w:pPr>
              <w:spacing w:after="0"/>
              <w:rPr>
                <w:sz w:val="19"/>
                <w:szCs w:val="19"/>
                <w:color w:val="auto"/>
              </w:rPr>
            </w:pPr>
          </w:p>
        </w:tc>
        <w:tc>
          <w:tcPr>
            <w:tcW w:w="7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9"/>
                <w:szCs w:val="19"/>
                <w:color w:val="auto"/>
              </w:rPr>
            </w:pPr>
          </w:p>
        </w:tc>
        <w:tc>
          <w:tcPr>
            <w:tcW w:w="940" w:type="dxa"/>
            <w:vAlign w:val="bottom"/>
          </w:tcPr>
          <w:p>
            <w:pPr>
              <w:ind w:left="8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540,500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80" w:right="20" w:hanging="372"/>
        <w:spacing w:after="0" w:line="236" w:lineRule="auto"/>
        <w:tabs>
          <w:tab w:leader="none" w:pos="3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reflect the aggregate grant date fair value of restricted share units ("RSUs") awarded to the named executive officers, computed in accordance with ASC 718 and based on the probable outcome of the applicable performance conditions on the date of grant with respect to the PSU awards. See Note 9. Shareholders' Equity to the consolidated financial statements included in this Annual Report on Form 10-K (the “Consolidated Financial Statements”) for a discussion of the relevant assumptions used in calculating these amounts.</w:t>
      </w:r>
    </w:p>
    <w:p>
      <w:pPr>
        <w:spacing w:after="0" w:line="90" w:lineRule="exact"/>
        <w:rPr>
          <w:rFonts w:ascii="Times New Roman" w:cs="Times New Roman" w:eastAsia="Times New Roman" w:hAnsi="Times New Roman"/>
          <w:sz w:val="24"/>
          <w:szCs w:val="24"/>
          <w:color w:val="auto"/>
          <w:vertAlign w:val="superscript"/>
        </w:rPr>
      </w:pPr>
    </w:p>
    <w:p>
      <w:pPr>
        <w:jc w:val="both"/>
        <w:ind w:left="380" w:right="100" w:hanging="372"/>
        <w:spacing w:after="0" w:line="231" w:lineRule="auto"/>
        <w:tabs>
          <w:tab w:leader="none" w:pos="3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reflect the aggregate grant date fair value of share options awarded to the named executive officers in the applicable year, each computed in accordance with ASC 718. See Note 9. Shareholders' Equity to the Consolidated Financial Statements for a discussion of the relevant assumptions used in calculating these amounts.</w:t>
      </w:r>
    </w:p>
    <w:p>
      <w:pPr>
        <w:spacing w:after="0" w:line="50" w:lineRule="exact"/>
        <w:rPr>
          <w:rFonts w:ascii="Times New Roman" w:cs="Times New Roman" w:eastAsia="Times New Roman" w:hAnsi="Times New Roman"/>
          <w:sz w:val="24"/>
          <w:szCs w:val="24"/>
          <w:color w:val="auto"/>
          <w:vertAlign w:val="superscript"/>
        </w:rPr>
      </w:pPr>
    </w:p>
    <w:p>
      <w:pPr>
        <w:ind w:left="380" w:hanging="372"/>
        <w:spacing w:after="0"/>
        <w:tabs>
          <w:tab w:leader="none" w:pos="3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reported in this column represent 401(k) matching contributions.</w:t>
      </w:r>
    </w:p>
    <w:p>
      <w:pPr>
        <w:spacing w:after="0" w:line="89" w:lineRule="exact"/>
        <w:rPr>
          <w:rFonts w:ascii="Times New Roman" w:cs="Times New Roman" w:eastAsia="Times New Roman" w:hAnsi="Times New Roman"/>
          <w:sz w:val="24"/>
          <w:szCs w:val="24"/>
          <w:color w:val="auto"/>
          <w:vertAlign w:val="superscript"/>
        </w:rPr>
      </w:pPr>
    </w:p>
    <w:p>
      <w:pPr>
        <w:ind w:left="380" w:right="40" w:hanging="372"/>
        <w:spacing w:after="0" w:line="231" w:lineRule="auto"/>
        <w:tabs>
          <w:tab w:leader="none" w:pos="38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Waldron served as our Acting Chief Financial Officer from August 26, 2025 through December 18, 2025, and following the appointment of Mitchell Cohen as interim Chief Financial Officer on December 18, 2025, Mr. Waldron continues as our Vice President, Finance and Accounting. We paid a third party consulting firm for Mr. Waldron's services.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33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share options and restricted share units held by our named executive officers as of December 31, 2025. Mr. Waldron did not hold an outstanding equity awards as of December 31, 2025.</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 w:type="dxa"/>
            <w:vAlign w:val="bottom"/>
            <w:tcBorders>
              <w:bottom w:val="single" w:sz="8" w:color="auto"/>
            </w:tcBorders>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5"/>
              </w:rPr>
              <w:t>(2</w:t>
            </w:r>
          </w:p>
        </w:tc>
        <w:tc>
          <w:tcPr>
            <w:tcW w:w="0" w:type="dxa"/>
            <w:vAlign w:val="bottom"/>
          </w:tcPr>
          <w:p>
            <w:pPr>
              <w:spacing w:after="0"/>
              <w:rPr>
                <w:sz w:val="1"/>
                <w:szCs w:val="1"/>
                <w:color w:val="auto"/>
              </w:rPr>
            </w:pPr>
          </w:p>
        </w:tc>
      </w:tr>
      <w:tr>
        <w:trPr>
          <w:trHeight w:val="115"/>
        </w:trPr>
        <w:tc>
          <w:tcPr>
            <w:tcW w:w="8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Morgan</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Kurk</w:t>
            </w: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8/18/2023</w:t>
            </w:r>
          </w:p>
        </w:tc>
        <w:tc>
          <w:tcPr>
            <w:tcW w:w="1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9"/>
                <w:szCs w:val="19"/>
                <w:color w:val="auto"/>
                <w:w w:val="79"/>
                <w:vertAlign w:val="superscript"/>
              </w:rPr>
              <w:t>)</w:t>
            </w:r>
            <w:r>
              <w:rPr>
                <w:rFonts w:ascii="Times New Roman" w:cs="Times New Roman" w:eastAsia="Times New Roman" w:hAnsi="Times New Roman"/>
                <w:sz w:val="10"/>
                <w:szCs w:val="10"/>
                <w:color w:val="auto"/>
                <w:w w:val="79"/>
              </w:rPr>
              <w:t>(3</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spacing w:after="0"/>
              <w:rPr>
                <w:sz w:val="18"/>
                <w:szCs w:val="18"/>
                <w:color w:val="auto"/>
              </w:rPr>
            </w:pPr>
          </w:p>
        </w:tc>
        <w:tc>
          <w:tcPr>
            <w:tcW w:w="820" w:type="dxa"/>
            <w:vAlign w:val="bottom"/>
            <w:tcBorders>
              <w:left w:val="single" w:sz="8" w:color="CFF0FC"/>
            </w:tcBorders>
          </w:tcPr>
          <w:p>
            <w:pPr>
              <w:jc w:val="center"/>
              <w:ind w:left="8"/>
              <w:spacing w:after="0"/>
              <w:rPr>
                <w:sz w:val="20"/>
                <w:szCs w:val="20"/>
                <w:color w:val="auto"/>
              </w:rPr>
            </w:pPr>
            <w:r>
              <w:rPr>
                <w:rFonts w:ascii="Times New Roman" w:cs="Times New Roman" w:eastAsia="Times New Roman" w:hAnsi="Times New Roman"/>
                <w:sz w:val="14"/>
                <w:szCs w:val="14"/>
                <w:color w:val="auto"/>
              </w:rPr>
              <w:t>8/18/2023</w:t>
            </w:r>
          </w:p>
        </w:tc>
        <w:tc>
          <w:tcPr>
            <w:tcW w:w="1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w w:val="79"/>
                <w:vertAlign w:val="superscript"/>
              </w:rPr>
              <w:t>)</w:t>
            </w:r>
            <w:r>
              <w:rPr>
                <w:rFonts w:ascii="Times New Roman" w:cs="Times New Roman" w:eastAsia="Times New Roman" w:hAnsi="Times New Roman"/>
                <w:sz w:val="10"/>
                <w:szCs w:val="10"/>
                <w:color w:val="auto"/>
                <w:w w:val="79"/>
              </w:rPr>
              <w:t>(4</w:t>
            </w:r>
          </w:p>
        </w:tc>
        <w:tc>
          <w:tcPr>
            <w:tcW w:w="0" w:type="dxa"/>
            <w:vAlign w:val="bottom"/>
          </w:tcPr>
          <w:p>
            <w:pPr>
              <w:spacing w:after="0"/>
              <w:rPr>
                <w:sz w:val="1"/>
                <w:szCs w:val="1"/>
                <w:color w:val="auto"/>
              </w:rPr>
            </w:pPr>
          </w:p>
        </w:tc>
      </w:tr>
      <w:tr>
        <w:trPr>
          <w:trHeight w:val="170"/>
        </w:trPr>
        <w:tc>
          <w:tcPr>
            <w:tcW w:w="8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left w:val="single" w:sz="8" w:color="CFF0FC"/>
            </w:tcBorders>
          </w:tcPr>
          <w:p>
            <w:pPr>
              <w:jc w:val="center"/>
              <w:ind w:left="8"/>
              <w:spacing w:after="0"/>
              <w:rPr>
                <w:sz w:val="20"/>
                <w:szCs w:val="20"/>
                <w:color w:val="auto"/>
              </w:rPr>
            </w:pPr>
            <w:r>
              <w:rPr>
                <w:rFonts w:ascii="Times New Roman" w:cs="Times New Roman" w:eastAsia="Times New Roman" w:hAnsi="Times New Roman"/>
                <w:sz w:val="14"/>
                <w:szCs w:val="14"/>
                <w:color w:val="auto"/>
              </w:rPr>
              <w:t>5/16/2024</w:t>
            </w:r>
          </w:p>
        </w:tc>
        <w:tc>
          <w:tcPr>
            <w:tcW w:w="12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8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Vibhu Vivek</w:t>
            </w:r>
          </w:p>
        </w:tc>
        <w:tc>
          <w:tcPr>
            <w:tcW w:w="820" w:type="dxa"/>
            <w:vAlign w:val="bottom"/>
          </w:tcPr>
          <w:p>
            <w:pPr>
              <w:jc w:val="center"/>
              <w:ind w:left="8"/>
              <w:spacing w:after="0" w:line="126" w:lineRule="exact"/>
              <w:rPr>
                <w:sz w:val="20"/>
                <w:szCs w:val="20"/>
                <w:color w:val="auto"/>
              </w:rPr>
            </w:pPr>
            <w:r>
              <w:rPr>
                <w:rFonts w:ascii="Times New Roman" w:cs="Times New Roman" w:eastAsia="Times New Roman" w:hAnsi="Times New Roman"/>
                <w:sz w:val="14"/>
                <w:szCs w:val="14"/>
                <w:color w:val="auto"/>
              </w:rPr>
              <w:t>6/25/2019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12/18/2019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6/1/2022</w:t>
            </w:r>
          </w:p>
        </w:tc>
        <w:tc>
          <w:tcPr>
            <w:tcW w:w="120" w:type="dxa"/>
            <w:vAlign w:val="bottom"/>
            <w:gridSpan w:val="2"/>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10/17/2023</w:t>
            </w:r>
          </w:p>
        </w:tc>
        <w:tc>
          <w:tcPr>
            <w:tcW w:w="1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w w:val="79"/>
                <w:vertAlign w:val="superscript"/>
              </w:rPr>
              <w:t>)</w:t>
            </w:r>
            <w:r>
              <w:rPr>
                <w:rFonts w:ascii="Times New Roman" w:cs="Times New Roman" w:eastAsia="Times New Roman" w:hAnsi="Times New Roman"/>
                <w:sz w:val="10"/>
                <w:szCs w:val="10"/>
                <w:color w:val="auto"/>
                <w:w w:val="79"/>
              </w:rPr>
              <w:t>(7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3/18/2024</w:t>
            </w:r>
          </w:p>
        </w:tc>
        <w:tc>
          <w:tcPr>
            <w:tcW w:w="1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w w:val="79"/>
                <w:vertAlign w:val="superscript"/>
              </w:rPr>
              <w:t>)</w:t>
            </w:r>
            <w:r>
              <w:rPr>
                <w:rFonts w:ascii="Times New Roman" w:cs="Times New Roman" w:eastAsia="Times New Roman" w:hAnsi="Times New Roman"/>
                <w:sz w:val="10"/>
                <w:szCs w:val="10"/>
                <w:color w:val="auto"/>
                <w:w w:val="79"/>
              </w:rPr>
              <w:t>(8</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5"/>
                <w:szCs w:val="15"/>
                <w:color w:val="auto"/>
              </w:rPr>
            </w:pPr>
          </w:p>
        </w:tc>
        <w:tc>
          <w:tcPr>
            <w:tcW w:w="8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7/10/2024</w:t>
            </w:r>
          </w:p>
        </w:tc>
        <w:tc>
          <w:tcPr>
            <w:tcW w:w="12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4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or units</w:t>
            </w: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6"/>
        </w:trPr>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8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have not</w:t>
            </w:r>
          </w:p>
        </w:tc>
        <w:tc>
          <w:tcPr>
            <w:tcW w:w="16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have not</w:t>
            </w:r>
          </w:p>
        </w:tc>
        <w:tc>
          <w:tcPr>
            <w:tcW w:w="1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6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7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price ($)</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60" w:type="dxa"/>
            <w:vAlign w:val="bottom"/>
          </w:tcPr>
          <w:p>
            <w:pPr>
              <w:spacing w:after="0"/>
              <w:rPr>
                <w:sz w:val="15"/>
                <w:szCs w:val="15"/>
                <w:color w:val="auto"/>
              </w:rPr>
            </w:pPr>
          </w:p>
        </w:tc>
        <w:tc>
          <w:tcPr>
            <w:tcW w:w="13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vested ($) </w:t>
            </w:r>
            <w:r>
              <w:rPr>
                <w:rFonts w:ascii="Times New Roman" w:cs="Times New Roman" w:eastAsia="Times New Roman" w:hAnsi="Times New Roman"/>
                <w:sz w:val="19"/>
                <w:szCs w:val="19"/>
                <w:b w:val="1"/>
                <w:bCs w:val="1"/>
                <w:color w:val="auto"/>
                <w:w w:val="98"/>
                <w:vertAlign w:val="superscript"/>
              </w:rPr>
              <w:t>(1)</w:t>
            </w:r>
          </w:p>
        </w:tc>
        <w:tc>
          <w:tcPr>
            <w:tcW w:w="1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(1)</w:t>
            </w:r>
          </w:p>
        </w:tc>
        <w:tc>
          <w:tcPr>
            <w:tcW w:w="0" w:type="dxa"/>
            <w:vAlign w:val="bottom"/>
          </w:tcPr>
          <w:p>
            <w:pPr>
              <w:spacing w:after="0"/>
              <w:rPr>
                <w:sz w:val="1"/>
                <w:szCs w:val="1"/>
                <w:color w:val="auto"/>
              </w:rPr>
            </w:pPr>
          </w:p>
        </w:tc>
      </w:tr>
      <w:tr>
        <w:trPr>
          <w:trHeight w:val="308"/>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218,750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8/18/2033</w:t>
            </w: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43,750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63,000</w:t>
            </w:r>
          </w:p>
        </w:tc>
        <w:tc>
          <w:tcPr>
            <w:tcW w:w="16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5/16/2034</w:t>
            </w: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90,000</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6/25/2029</w:t>
            </w:r>
          </w:p>
        </w:tc>
        <w:tc>
          <w:tcPr>
            <w:tcW w:w="16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12/18/2029</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6/1/2032</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10/17/2033</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3/18/2034</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39,600</w:t>
            </w:r>
          </w:p>
        </w:tc>
        <w:tc>
          <w:tcPr>
            <w:tcW w:w="160" w:type="dxa"/>
            <w:vAlign w:val="bottom"/>
          </w:tcPr>
          <w:p>
            <w:pPr>
              <w:spacing w:after="0"/>
              <w:rPr>
                <w:sz w:val="16"/>
                <w:szCs w:val="16"/>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-1195070</wp:posOffset>
            </wp:positionV>
            <wp:extent cx="7132320" cy="462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740" w:space="40"/>
            <w:col w:w="946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860" w:type="dxa"/>
            <w:vAlign w:val="bottom"/>
            <w:tcBorders>
              <w:right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Sally Rau</w:t>
            </w:r>
          </w:p>
        </w:tc>
        <w:tc>
          <w:tcPr>
            <w:tcW w:w="780" w:type="dxa"/>
            <w:vAlign w:val="bottom"/>
            <w:tcBorders>
              <w:right w:val="single" w:sz="8" w:color="CFF0FC"/>
            </w:tcBorders>
            <w:shd w:val="clear" w:color="auto" w:fill="CFF0FC"/>
          </w:tcPr>
          <w:p>
            <w:pPr>
              <w:jc w:val="center"/>
              <w:spacing w:after="0" w:line="155" w:lineRule="exact"/>
              <w:rPr>
                <w:sz w:val="20"/>
                <w:szCs w:val="20"/>
                <w:color w:val="auto"/>
              </w:rPr>
            </w:pPr>
            <w:r>
              <w:rPr>
                <w:rFonts w:ascii="Times New Roman" w:cs="Times New Roman" w:eastAsia="Times New Roman" w:hAnsi="Times New Roman"/>
                <w:sz w:val="14"/>
                <w:szCs w:val="14"/>
                <w:color w:val="auto"/>
              </w:rPr>
              <w:t>6/25/2019</w:t>
            </w: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7,500</w:t>
            </w:r>
          </w:p>
        </w:tc>
        <w:tc>
          <w:tcPr>
            <w:tcW w:w="1080" w:type="dxa"/>
            <w:vAlign w:val="bottom"/>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12.00</w:t>
            </w:r>
          </w:p>
        </w:tc>
        <w:tc>
          <w:tcPr>
            <w:tcW w:w="1680" w:type="dxa"/>
            <w:vAlign w:val="bottom"/>
            <w:shd w:val="clear" w:color="auto" w:fill="CFF0FC"/>
          </w:tcPr>
          <w:p>
            <w:pPr>
              <w:jc w:val="right"/>
              <w:ind w:right="768"/>
              <w:spacing w:after="0" w:line="155" w:lineRule="exact"/>
              <w:rPr>
                <w:sz w:val="20"/>
                <w:szCs w:val="20"/>
                <w:color w:val="auto"/>
              </w:rPr>
            </w:pPr>
            <w:r>
              <w:rPr>
                <w:rFonts w:ascii="Times New Roman" w:cs="Times New Roman" w:eastAsia="Times New Roman" w:hAnsi="Times New Roman"/>
                <w:sz w:val="14"/>
                <w:szCs w:val="14"/>
                <w:color w:val="auto"/>
              </w:rPr>
              <w:t>6/25/2029</w:t>
            </w:r>
          </w:p>
        </w:tc>
        <w:tc>
          <w:tcPr>
            <w:tcW w:w="1660" w:type="dxa"/>
            <w:vAlign w:val="bottom"/>
            <w:shd w:val="clear" w:color="auto" w:fill="CFF0FC"/>
          </w:tcPr>
          <w:p>
            <w:pPr>
              <w:ind w:left="8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ind w:left="6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3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ind w:left="5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860" w:type="dxa"/>
            <w:vAlign w:val="bottom"/>
            <w:tcBorders>
              <w:bottom w:val="single" w:sz="8" w:color="CFF0FC"/>
              <w:right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12/18/2019</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(9</w:t>
            </w:r>
          </w:p>
        </w:tc>
        <w:tc>
          <w:tcPr>
            <w:tcW w:w="1340" w:type="dxa"/>
            <w:vAlign w:val="bottom"/>
          </w:tcPr>
          <w:p>
            <w:pPr>
              <w:jc w:val="right"/>
              <w:ind w:right="368"/>
              <w:spacing w:after="0" w:line="154" w:lineRule="exact"/>
              <w:rPr>
                <w:sz w:val="20"/>
                <w:szCs w:val="20"/>
                <w:color w:val="auto"/>
              </w:rPr>
            </w:pPr>
            <w:r>
              <w:rPr>
                <w:rFonts w:ascii="Times New Roman" w:cs="Times New Roman" w:eastAsia="Times New Roman" w:hAnsi="Times New Roman"/>
                <w:sz w:val="14"/>
                <w:szCs w:val="14"/>
                <w:color w:val="auto"/>
              </w:rPr>
              <w:t>5,625</w:t>
            </w:r>
          </w:p>
        </w:tc>
        <w:tc>
          <w:tcPr>
            <w:tcW w:w="1080" w:type="dxa"/>
            <w:vAlign w:val="bottom"/>
          </w:tcPr>
          <w:p>
            <w:pPr>
              <w:jc w:val="right"/>
              <w:ind w:right="188"/>
              <w:spacing w:after="0" w:line="15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line="154" w:lineRule="exact"/>
              <w:rPr>
                <w:sz w:val="20"/>
                <w:szCs w:val="20"/>
                <w:color w:val="auto"/>
              </w:rPr>
            </w:pPr>
            <w:r>
              <w:rPr>
                <w:rFonts w:ascii="Times New Roman" w:cs="Times New Roman" w:eastAsia="Times New Roman" w:hAnsi="Times New Roman"/>
                <w:sz w:val="14"/>
                <w:szCs w:val="14"/>
                <w:color w:val="auto"/>
              </w:rPr>
              <w:t>6.34</w:t>
            </w:r>
          </w:p>
        </w:tc>
        <w:tc>
          <w:tcPr>
            <w:tcW w:w="1680" w:type="dxa"/>
            <w:vAlign w:val="bottom"/>
          </w:tcPr>
          <w:p>
            <w:pPr>
              <w:jc w:val="right"/>
              <w:ind w:right="768"/>
              <w:spacing w:after="0" w:line="154" w:lineRule="exact"/>
              <w:rPr>
                <w:sz w:val="20"/>
                <w:szCs w:val="20"/>
                <w:color w:val="auto"/>
              </w:rPr>
            </w:pPr>
            <w:r>
              <w:rPr>
                <w:rFonts w:ascii="Times New Roman" w:cs="Times New Roman" w:eastAsia="Times New Roman" w:hAnsi="Times New Roman"/>
                <w:sz w:val="14"/>
                <w:szCs w:val="14"/>
                <w:color w:val="auto"/>
              </w:rPr>
              <w:t>12/18/2029</w:t>
            </w:r>
          </w:p>
        </w:tc>
        <w:tc>
          <w:tcPr>
            <w:tcW w:w="1660" w:type="dxa"/>
            <w:vAlign w:val="bottom"/>
          </w:tcPr>
          <w:p>
            <w:pPr>
              <w:ind w:left="82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680"/>
              <w:spacing w:after="0" w:line="154"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340"/>
              <w:spacing w:after="0" w:line="15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20"/>
              <w:spacing w:after="0" w:line="15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Borders>
              <w:right w:val="single" w:sz="8" w:color="CFF0FC"/>
            </w:tcBorders>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3/29/2021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vertAlign w:val="superscript"/>
              </w:rPr>
              <w:t>)</w:t>
            </w:r>
            <w:r>
              <w:rPr>
                <w:rFonts w:ascii="Times New Roman" w:cs="Times New Roman" w:eastAsia="Times New Roman" w:hAnsi="Times New Roman"/>
                <w:sz w:val="9"/>
                <w:szCs w:val="9"/>
                <w:color w:val="auto"/>
                <w:w w:val="70"/>
              </w:rPr>
              <w:t>(5</w:t>
            </w:r>
          </w:p>
        </w:tc>
        <w:tc>
          <w:tcPr>
            <w:tcW w:w="13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23,000</w:t>
            </w:r>
          </w:p>
        </w:tc>
        <w:tc>
          <w:tcPr>
            <w:tcW w:w="10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42.52</w:t>
            </w:r>
          </w:p>
        </w:tc>
        <w:tc>
          <w:tcPr>
            <w:tcW w:w="168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3/29/2031</w:t>
            </w:r>
          </w:p>
        </w:tc>
        <w:tc>
          <w:tcPr>
            <w:tcW w:w="16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860" w:type="dxa"/>
            <w:vAlign w:val="bottom"/>
            <w:tcBorders>
              <w:right w:val="single" w:sz="8" w:color="CFF0FC"/>
            </w:tcBorders>
            <w:shd w:val="clear" w:color="auto" w:fill="CFF0FC"/>
          </w:tcPr>
          <w:p>
            <w:pPr>
              <w:spacing w:after="0"/>
              <w:rPr>
                <w:sz w:val="9"/>
                <w:szCs w:val="9"/>
                <w:color w:val="auto"/>
              </w:rPr>
            </w:pPr>
          </w:p>
        </w:tc>
        <w:tc>
          <w:tcPr>
            <w:tcW w:w="780" w:type="dxa"/>
            <w:vAlign w:val="bottom"/>
            <w:tcBorders>
              <w:right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6/1/2022</w:t>
            </w:r>
          </w:p>
        </w:tc>
        <w:tc>
          <w:tcPr>
            <w:tcW w:w="140" w:type="dxa"/>
            <w:vAlign w:val="bottom"/>
          </w:tcPr>
          <w:p>
            <w:pPr>
              <w:jc w:val="right"/>
              <w:ind w:right="55"/>
              <w:spacing w:after="0"/>
              <w:rPr>
                <w:sz w:val="20"/>
                <w:szCs w:val="20"/>
                <w:color w:val="auto"/>
              </w:rPr>
            </w:pPr>
            <w:r>
              <w:rPr>
                <w:rFonts w:ascii="Times New Roman" w:cs="Times New Roman" w:eastAsia="Times New Roman" w:hAnsi="Times New Roman"/>
                <w:sz w:val="8"/>
                <w:szCs w:val="8"/>
                <w:color w:val="auto"/>
                <w:w w:val="73"/>
              </w:rPr>
              <w:t>)</w:t>
            </w:r>
          </w:p>
        </w:tc>
        <w:tc>
          <w:tcPr>
            <w:tcW w:w="13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38,500</w:t>
            </w:r>
          </w:p>
        </w:tc>
        <w:tc>
          <w:tcPr>
            <w:tcW w:w="10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5,500</w:t>
            </w: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14.51</w:t>
            </w:r>
          </w:p>
        </w:tc>
        <w:tc>
          <w:tcPr>
            <w:tcW w:w="1680" w:type="dxa"/>
            <w:vAlign w:val="bottom"/>
            <w:vMerge w:val="restart"/>
          </w:tcPr>
          <w:p>
            <w:pPr>
              <w:jc w:val="right"/>
              <w:ind w:right="768"/>
              <w:spacing w:after="0"/>
              <w:rPr>
                <w:sz w:val="20"/>
                <w:szCs w:val="20"/>
                <w:color w:val="auto"/>
              </w:rPr>
            </w:pPr>
            <w:r>
              <w:rPr>
                <w:rFonts w:ascii="Times New Roman" w:cs="Times New Roman" w:eastAsia="Times New Roman" w:hAnsi="Times New Roman"/>
                <w:sz w:val="14"/>
                <w:szCs w:val="14"/>
                <w:color w:val="auto"/>
              </w:rPr>
              <w:t>6/1/2032</w:t>
            </w:r>
          </w:p>
        </w:tc>
        <w:tc>
          <w:tcPr>
            <w:tcW w:w="166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8"/>
        </w:trPr>
        <w:tc>
          <w:tcPr>
            <w:tcW w:w="860" w:type="dxa"/>
            <w:vAlign w:val="bottom"/>
            <w:tcBorders>
              <w:bottom w:val="single" w:sz="8" w:color="CFF0FC"/>
              <w:right w:val="single" w:sz="8" w:color="CFF0FC"/>
            </w:tcBorders>
            <w:shd w:val="clear" w:color="auto" w:fill="CFF0FC"/>
          </w:tcPr>
          <w:p>
            <w:pPr>
              <w:spacing w:after="0"/>
              <w:rPr>
                <w:sz w:val="7"/>
                <w:szCs w:val="7"/>
                <w:color w:val="auto"/>
              </w:rPr>
            </w:pPr>
          </w:p>
        </w:tc>
        <w:tc>
          <w:tcPr>
            <w:tcW w:w="780" w:type="dxa"/>
            <w:vAlign w:val="bottom"/>
            <w:tcBorders>
              <w:bottom w:val="single" w:sz="8" w:color="CFF0FC"/>
              <w:right w:val="single" w:sz="8" w:color="CFF0FC"/>
            </w:tcBorders>
            <w:vMerge w:val="continue"/>
            <w:shd w:val="clear" w:color="auto" w:fill="CFF0FC"/>
          </w:tcPr>
          <w:p>
            <w:pPr>
              <w:spacing w:after="0"/>
              <w:rPr>
                <w:sz w:val="7"/>
                <w:szCs w:val="7"/>
                <w:color w:val="auto"/>
              </w:rPr>
            </w:pPr>
          </w:p>
        </w:tc>
        <w:tc>
          <w:tcPr>
            <w:tcW w:w="1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w w:val="95"/>
              </w:rPr>
              <w:t>(6</w:t>
            </w:r>
          </w:p>
        </w:tc>
        <w:tc>
          <w:tcPr>
            <w:tcW w:w="1340" w:type="dxa"/>
            <w:vAlign w:val="bottom"/>
            <w:tcBorders>
              <w:bottom w:val="single" w:sz="8" w:color="CFF0FC"/>
            </w:tcBorders>
            <w:vMerge w:val="continue"/>
          </w:tcPr>
          <w:p>
            <w:pPr>
              <w:spacing w:after="0"/>
              <w:rPr>
                <w:sz w:val="7"/>
                <w:szCs w:val="7"/>
                <w:color w:val="auto"/>
              </w:rPr>
            </w:pPr>
          </w:p>
        </w:tc>
        <w:tc>
          <w:tcPr>
            <w:tcW w:w="1080" w:type="dxa"/>
            <w:vAlign w:val="bottom"/>
            <w:tcBorders>
              <w:bottom w:val="single" w:sz="8" w:color="CFF0FC"/>
            </w:tcBorders>
            <w:vMerge w:val="continue"/>
          </w:tcPr>
          <w:p>
            <w:pPr>
              <w:spacing w:after="0"/>
              <w:rPr>
                <w:sz w:val="7"/>
                <w:szCs w:val="7"/>
                <w:color w:val="auto"/>
              </w:rPr>
            </w:pPr>
          </w:p>
        </w:tc>
        <w:tc>
          <w:tcPr>
            <w:tcW w:w="780" w:type="dxa"/>
            <w:vAlign w:val="bottom"/>
            <w:tcBorders>
              <w:bottom w:val="single" w:sz="8" w:color="CFF0FC"/>
            </w:tcBorders>
            <w:vMerge w:val="continue"/>
          </w:tcPr>
          <w:p>
            <w:pPr>
              <w:spacing w:after="0"/>
              <w:rPr>
                <w:sz w:val="7"/>
                <w:szCs w:val="7"/>
                <w:color w:val="auto"/>
              </w:rPr>
            </w:pPr>
          </w:p>
        </w:tc>
        <w:tc>
          <w:tcPr>
            <w:tcW w:w="1680" w:type="dxa"/>
            <w:vAlign w:val="bottom"/>
            <w:tcBorders>
              <w:bottom w:val="single" w:sz="8" w:color="CFF0FC"/>
            </w:tcBorders>
            <w:vMerge w:val="continue"/>
          </w:tcPr>
          <w:p>
            <w:pPr>
              <w:spacing w:after="0"/>
              <w:rPr>
                <w:sz w:val="7"/>
                <w:szCs w:val="7"/>
                <w:color w:val="auto"/>
              </w:rPr>
            </w:pPr>
          </w:p>
        </w:tc>
        <w:tc>
          <w:tcPr>
            <w:tcW w:w="1660" w:type="dxa"/>
            <w:vAlign w:val="bottom"/>
            <w:tcBorders>
              <w:bottom w:val="single" w:sz="8" w:color="CFF0FC"/>
            </w:tcBorders>
            <w:vMerge w:val="continue"/>
          </w:tcPr>
          <w:p>
            <w:pPr>
              <w:spacing w:after="0"/>
              <w:rPr>
                <w:sz w:val="7"/>
                <w:szCs w:val="7"/>
                <w:color w:val="auto"/>
              </w:rPr>
            </w:pPr>
          </w:p>
        </w:tc>
        <w:tc>
          <w:tcPr>
            <w:tcW w:w="1160" w:type="dxa"/>
            <w:vAlign w:val="bottom"/>
            <w:tcBorders>
              <w:bottom w:val="single" w:sz="8" w:color="CFF0FC"/>
            </w:tcBorders>
            <w:vMerge w:val="continue"/>
          </w:tcPr>
          <w:p>
            <w:pPr>
              <w:spacing w:after="0"/>
              <w:rPr>
                <w:sz w:val="7"/>
                <w:szCs w:val="7"/>
                <w:color w:val="auto"/>
              </w:rPr>
            </w:pPr>
          </w:p>
        </w:tc>
        <w:tc>
          <w:tcPr>
            <w:tcW w:w="980" w:type="dxa"/>
            <w:vAlign w:val="bottom"/>
            <w:tcBorders>
              <w:bottom w:val="single" w:sz="8" w:color="CFF0FC"/>
            </w:tcBorders>
            <w:vMerge w:val="continue"/>
          </w:tcPr>
          <w:p>
            <w:pPr>
              <w:spacing w:after="0"/>
              <w:rPr>
                <w:sz w:val="7"/>
                <w:szCs w:val="7"/>
                <w:color w:val="auto"/>
              </w:rPr>
            </w:pPr>
          </w:p>
        </w:tc>
        <w:tc>
          <w:tcPr>
            <w:tcW w:w="780" w:type="dxa"/>
            <w:vAlign w:val="bottom"/>
            <w:tcBorders>
              <w:bottom w:val="single" w:sz="8" w:color="CFF0F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60" w:type="dxa"/>
            <w:vAlign w:val="bottom"/>
            <w:tcBorders>
              <w:right w:val="single" w:sz="8" w:color="CFF0FC"/>
            </w:tcBorders>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10/17/2023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vertAlign w:val="superscript"/>
              </w:rPr>
              <w:t>)</w:t>
            </w:r>
            <w:r>
              <w:rPr>
                <w:rFonts w:ascii="Times New Roman" w:cs="Times New Roman" w:eastAsia="Times New Roman" w:hAnsi="Times New Roman"/>
                <w:sz w:val="9"/>
                <w:szCs w:val="9"/>
                <w:color w:val="auto"/>
                <w:w w:val="70"/>
              </w:rPr>
              <w:t>(7</w:t>
            </w:r>
          </w:p>
        </w:tc>
        <w:tc>
          <w:tcPr>
            <w:tcW w:w="134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12,500</w:t>
            </w:r>
          </w:p>
        </w:tc>
        <w:tc>
          <w:tcPr>
            <w:tcW w:w="10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12,500</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5.01</w:t>
            </w:r>
          </w:p>
        </w:tc>
        <w:tc>
          <w:tcPr>
            <w:tcW w:w="168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10/17/2033</w:t>
            </w:r>
          </w:p>
        </w:tc>
        <w:tc>
          <w:tcPr>
            <w:tcW w:w="16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60" w:type="dxa"/>
            <w:vAlign w:val="bottom"/>
            <w:tcBorders>
              <w:right w:val="single" w:sz="8" w:color="CFF0FC"/>
            </w:tcBorders>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3/18/2024</w:t>
            </w:r>
          </w:p>
        </w:tc>
        <w:tc>
          <w:tcPr>
            <w:tcW w:w="140" w:type="dxa"/>
            <w:vAlign w:val="bottom"/>
          </w:tcPr>
          <w:p>
            <w:pPr>
              <w:jc w:val="right"/>
              <w:ind w:right="55"/>
              <w:spacing w:after="0"/>
              <w:rPr>
                <w:sz w:val="20"/>
                <w:szCs w:val="20"/>
                <w:color w:val="auto"/>
              </w:rPr>
            </w:pPr>
            <w:r>
              <w:rPr>
                <w:rFonts w:ascii="Times New Roman" w:cs="Times New Roman" w:eastAsia="Times New Roman" w:hAnsi="Times New Roman"/>
                <w:sz w:val="8"/>
                <w:szCs w:val="8"/>
                <w:color w:val="auto"/>
                <w:w w:val="73"/>
              </w:rPr>
              <w:t>)</w:t>
            </w:r>
          </w:p>
        </w:tc>
        <w:tc>
          <w:tcPr>
            <w:tcW w:w="134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13,125</w:t>
            </w:r>
          </w:p>
        </w:tc>
        <w:tc>
          <w:tcPr>
            <w:tcW w:w="108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16,875</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4.26</w:t>
            </w:r>
          </w:p>
        </w:tc>
        <w:tc>
          <w:tcPr>
            <w:tcW w:w="168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3/18/2034</w:t>
            </w:r>
          </w:p>
        </w:tc>
        <w:tc>
          <w:tcPr>
            <w:tcW w:w="166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-641985</wp:posOffset>
            </wp:positionV>
            <wp:extent cx="6626225" cy="642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26225" cy="642620"/>
                    </a:xfrm>
                    <a:prstGeom prst="rect">
                      <a:avLst/>
                    </a:prstGeom>
                    <a:noFill/>
                  </pic:spPr>
                </pic:pic>
              </a:graphicData>
            </a:graphic>
          </wp:anchor>
        </w:drawing>
      </w:r>
    </w:p>
    <w:p>
      <w:pPr>
        <w:spacing w:after="0" w:line="70" w:lineRule="exact"/>
        <w:rPr>
          <w:sz w:val="20"/>
          <w:szCs w:val="20"/>
          <w:color w:val="auto"/>
        </w:rPr>
      </w:pPr>
    </w:p>
    <w:p>
      <w:pPr>
        <w:ind w:left="380" w:right="500" w:hanging="372"/>
        <w:spacing w:after="0" w:line="223" w:lineRule="auto"/>
        <w:tabs>
          <w:tab w:leader="none" w:pos="38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market value of shares or units that have not vested reflects the share price of $1.44, our closing share price on December 31, 2025 (the last trading day in 2025).</w:t>
      </w:r>
    </w:p>
    <w:p>
      <w:pPr>
        <w:spacing w:after="0" w:line="91" w:lineRule="exact"/>
        <w:rPr>
          <w:rFonts w:ascii="Times New Roman" w:cs="Times New Roman" w:eastAsia="Times New Roman" w:hAnsi="Times New Roman"/>
          <w:sz w:val="24"/>
          <w:szCs w:val="24"/>
          <w:color w:val="auto"/>
          <w:vertAlign w:val="superscript"/>
        </w:rPr>
      </w:pPr>
    </w:p>
    <w:p>
      <w:pPr>
        <w:ind w:left="380" w:right="480" w:hanging="372"/>
        <w:spacing w:after="0" w:line="223" w:lineRule="auto"/>
        <w:tabs>
          <w:tab w:leader="none" w:pos="38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August 18, 2024,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right="100" w:hanging="372"/>
        <w:spacing w:after="0" w:line="231" w:lineRule="auto"/>
        <w:tabs>
          <w:tab w:leader="none" w:pos="38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RSUs vested 50% on the two-year anniversary of the date of grant (August 18, 2025) and the remaining 50% vested or will continue to vest on a quarterly basis over the 24 months following the initial vesting date,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right="160" w:hanging="372"/>
        <w:spacing w:after="0" w:line="223" w:lineRule="auto"/>
        <w:tabs>
          <w:tab w:leader="none" w:pos="38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May 16, 2025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right="60" w:hanging="372"/>
        <w:spacing w:after="0" w:line="223" w:lineRule="auto"/>
        <w:tabs>
          <w:tab w:leader="none" w:pos="38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June 1, 2023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right="460" w:hanging="372"/>
        <w:spacing w:after="0" w:line="223" w:lineRule="auto"/>
        <w:tabs>
          <w:tab w:leader="none" w:pos="38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October 17, 2024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right="20" w:hanging="372"/>
        <w:spacing w:after="0" w:line="223" w:lineRule="auto"/>
        <w:tabs>
          <w:tab w:leader="none" w:pos="38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March 18, 2025 and the remaining 75% vested in 12 equal quarterly installments thereafter, subject to the named executive officer’s continued service through each applicable vesting date.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4" w:name="page75"/>
    <w:bookmarkEnd w:id="74"/>
    <w:p>
      <w:pPr>
        <w:ind w:left="380" w:right="120" w:hanging="372"/>
        <w:spacing w:after="0" w:line="223" w:lineRule="auto"/>
        <w:tabs>
          <w:tab w:leader="none" w:pos="38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RSUs vested 25% on July 10, 2025 and the remaining 75% vested or will continue to vest in 12 equal quarterly installments thereafter, subject to the named executive officer's continued service through each applicable vesting date.</w:t>
      </w:r>
    </w:p>
    <w:p>
      <w:pPr>
        <w:spacing w:after="0" w:line="91" w:lineRule="exact"/>
        <w:rPr>
          <w:rFonts w:ascii="Times New Roman" w:cs="Times New Roman" w:eastAsia="Times New Roman" w:hAnsi="Times New Roman"/>
          <w:sz w:val="24"/>
          <w:szCs w:val="24"/>
          <w:color w:val="auto"/>
          <w:vertAlign w:val="superscript"/>
        </w:rPr>
      </w:pPr>
    </w:p>
    <w:p>
      <w:pPr>
        <w:ind w:left="380" w:right="580" w:hanging="372"/>
        <w:spacing w:after="0" w:line="223" w:lineRule="auto"/>
        <w:tabs>
          <w:tab w:leader="none" w:pos="38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vested 25% on March 29, 2022, and the remaining 75% vested or will continue to vest in 12 equal quarterly installments thereafter through March 29, 2026.</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Potential Payments upon Termination or Change-in-Control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executive employment arrangements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are a party to an employment agreement with Mr. Kurk that provides for certain severance and vesting benefits if he is involuntarily terminated, which benefits may vary if the involuntary termination was under certain circumstances in connection with or during the 12-month period following a change in control.</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Mr. Kurk’s employment agreement provides for an initial employment term of two years, with such term to be automatically extended for successive one-year periods on each anniversary of his start date, unless either party provides at least 90 days’ advance written notice of non-renewal to the other party.</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his employment agreement, Mr. Kurk will be entitled to receive the following compensation and benefits in connection with a qualifying termination of his employment: the initial share options and RSUs awarded to him in 2023 will each fully vest in the event a change in control (as such term is defined in the 2019 Share Incentive Plan) occurs and within two years following such change in control, Mr. Kurk is terminated by us without cause (as defined in the employment agreement) or Mr. Kurk resigns for good reason (as defined in the employment agreement); and (ii) in the event that Mr. Kurk’s employment is terminated by us without cause or Mr. Kurk resigns for good reason prior to the second anniversary of the date of his commencement of employment with us, then the portions of the initial share options and RSUs that were scheduled to vest on or prior to the 12-month anniversary of such termination of employment will vest as of the date of such termination.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that Mr. Kurk’s employment is terminated by us without cause (including due to non-extension of the term of his employment by us) or he resigns for good reason, then, in addition to the equity vesting described above, he will be entitled to any earned but unpaid annual bonus with respect to the fiscal year ending on or before the termination date (the “Prior Year Bonus”) and, subject to his execution and non-revocation of a general release of claims in favor of us and his continued compliance with certain restrictive covenants set forth in his employment agreement, Mr. Kurk will also be entitled to receive (i) twelve (12) months of base salary continuation, (ii) reimbursement of the cost of continued coverage under our group medical, hospitalization, and dental plans at active employee rates for up to twelve (12) months, and (iii) a pro-rated annual bonus for the year in which such termination occurs, based on actual results and to be paid at the same time bonuses for such year are paid to other senior executives of the Company. In the event that Mr. Kurk’s employment is terminated due to death or disability, he will be entitled to receive the Prior Year Bonus.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entered into a severance agreement with each of Mr. Vivek and Ms. Rau that provides that in the event a qualified termination event occurs, subject to his or her execution of a general release of claims in favor of the Company, the Company will: (i) pay the executive an amount equal to his or her monthly base salary rate, paid monthly for a period of six months; (ii) during such six-month period, if the executive is eligible to elect and elects to continue coverage under the Company’s group medical, hospitalization, and dental plans pursuant to the Consolidated Omnibus Budget Reconciliation Act of 1985, as amended (“COBRA”), reimburse the executive on a monthly basis for the difference between the amount the executive pays to effect and continue such coverage under COBRA and the employee contribution amount that active employees of the Company pay for the same or similar coverage; and (iii) pay the executive a pro-rata portion of his performance cash award under the Company’s annual incentive plan for the fiscal year in which the termination occurs based on results through the date of termination.</w:t>
      </w:r>
    </w:p>
    <w:p>
      <w:pPr>
        <w:spacing w:after="0" w:line="8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Any unvested share options or RSUs held by our named executive officers will vest in full upon a change in control in which the awards are not effectively assumed or continued by the surviving or acquiring corporation, provided that, for performance-based awards, if the performance period is completed prior to the change in control, then the award will only vest to the extent the underlying performance goal was achieved.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Timing of Equity Awards In Relation to Disclosure of Material Non-Public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2025, we did not make any awards of share options or RSUs to any of our executive officers or other employees. Generally, we make equity awards to certain employees, including our executive officers hired during the year, as part of their new hire compensation. We also generally make a refresh equity award to certain employees, including all of our executive officers, in a single annual refresh award, typically made during the first or second quarter of the year. Share options and other equity awards are approved by our compensation committee typically during scheduled meetings, and our compensation committee has not delegated authority to any executive officer or subcommittee to approve equity awards. We do not take material non-public information into account in determining the timing and terms of share options, although awards are typically made following the release of quarterly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ind w:right="520"/>
        <w:spacing w:after="0" w:line="375" w:lineRule="auto"/>
        <w:rPr>
          <w:sz w:val="20"/>
          <w:szCs w:val="20"/>
          <w:color w:val="auto"/>
        </w:rPr>
      </w:pPr>
      <w:r>
        <w:rPr>
          <w:rFonts w:ascii="Times New Roman" w:cs="Times New Roman" w:eastAsia="Times New Roman" w:hAnsi="Times New Roman"/>
          <w:sz w:val="18"/>
          <w:szCs w:val="18"/>
          <w:color w:val="auto"/>
        </w:rPr>
        <w:t xml:space="preserve">financial results. We do not time the disclosure of material non-public information for the purpose of affecting the value of executive compensation. </w:t>
      </w:r>
      <w:r>
        <w:rPr>
          <w:rFonts w:ascii="Times New Roman" w:cs="Times New Roman" w:eastAsia="Times New Roman" w:hAnsi="Times New Roman"/>
          <w:sz w:val="18"/>
          <w:szCs w:val="18"/>
          <w:b w:val="1"/>
          <w:bCs w:val="1"/>
          <w:color w:val="auto"/>
        </w:rPr>
        <w:t>Compensation Risk Assessment</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conducted an assessment of the risks associated with our compensation practices and policies and determined that the risks arising from such policies and practices are not reasonably likely to have a material adverse effect on us. In conducting the assessment, we undertook a review of our compensation philosophies, our compensation governance structure and the design and oversight of our compensation program. Overall, we believe that our programs include an appropriate mix of fixed and variable features, and short- and long-term incentives with compensation-based goals aligning with corporate goals.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 and Other Retirement Plans</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maintain a tax-qualified 401(k) retirement plan all U.S. employees who satisfy certain eligibility requirements, including requirements relating to age and length of service. Under our 401(k) plan, employees may elect to defer up to all eligible compensation, subject to applicable annual Internal Revenue Code limits. We match up to 4% of contributions made by our employees, including executives, with the match becoming fully vested after two years of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Generally, our directors who are not also our officers or employees are eligible to receive cash compensation for their service on our board of directors. In addition, all directors have received equity awards with respect to our ordinary shares.</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2025, our non-employee members of our board of directors other than Mr. Bhatnagar were entitled to a board compensation program payable to non-employee members of the board approved in 2023, consisting of an annual cash compensation for members of the board as set forth below. This program provides the following cash compensation: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Annual Cash Compensation Elements</w:t>
            </w: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Retainer</w:t>
            </w:r>
          </w:p>
        </w:tc>
        <w:tc>
          <w:tcPr>
            <w:tcW w:w="8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Retainer (Chair)</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16"/>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Retainer (Other Members)</w:t>
            </w:r>
          </w:p>
        </w:tc>
        <w:tc>
          <w:tcPr>
            <w:tcW w:w="8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34"/>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Retainer (Chair)</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bl>
    <w:p>
      <w:pPr>
        <w:spacing w:after="0" w:line="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non-employee members of the board, including any member affiliated with Vector Capital, are entitled to board fees other than Mr. Atul Bhatnagar, our former President and Chief Executive Officer. Given the financial position of the Company, all members of the board of directors agreed to forego payment of board fees during 2024, and accordingly no board fees were paid during 2024. During 2025, we paid fees to Mr. Felt, Mr. Verma and Mr. Lynch with respect to 2024 service and such directors received their 2025 board fees on a quarterly basis in accordance with our past practices. We have not paid board fees for 2025 or 2024 for Mr. Slusky or Mr. Amen.</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see the “2025 Summary Compensation Table” for a summary of the compensation received by Mr. Kurk with respect to his service during 2025. No equity awards were made to any member of the board of directors during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we reimburse our directors for their reasonable out-of-pocket expenses to attend board and committee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2025 director compensation earned by our non-employee directors: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8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center"/>
              <w:ind w:right="295"/>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256"/>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216"/>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(1)</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Amen</w:t>
            </w:r>
          </w:p>
        </w:tc>
        <w:tc>
          <w:tcPr>
            <w:tcW w:w="5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Alexander R. Slusky</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Bruce Felt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Vikram Verma</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Lynch</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Atul Bhatnagar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80" w:right="40" w:hanging="372"/>
        <w:spacing w:after="0" w:line="231" w:lineRule="auto"/>
        <w:tabs>
          <w:tab w:leader="none" w:pos="38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 equity awards were granted to members of our board of directors during 2025. As of December 31, 2025, our non-employee directors had equity awards outstanding with respect to the following number of shares: Mr. Amen 110,000 options, of which 80,000 are fully vested; Mr. Slusky  110,000 options, of which 80,000 are fully vested; Mr. Felt  161,588 options, of which</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left="380" w:right="520"/>
        <w:spacing w:after="0" w:line="282" w:lineRule="auto"/>
        <w:rPr>
          <w:sz w:val="20"/>
          <w:szCs w:val="20"/>
          <w:color w:val="auto"/>
        </w:rPr>
      </w:pPr>
      <w:r>
        <w:rPr>
          <w:rFonts w:ascii="Times New Roman" w:cs="Times New Roman" w:eastAsia="Times New Roman" w:hAnsi="Times New Roman"/>
          <w:sz w:val="18"/>
          <w:szCs w:val="18"/>
          <w:color w:val="auto"/>
        </w:rPr>
        <w:t>131,588 are fully vested; Mr. Verma 151,608 options, of which 121,608 are fully vested; Mr. Lynch 120,000 options, of which 97,500 are fully vested, Mr. Bhatnagar, 650,000 options, of which 631,250 are fully vested.</w:t>
      </w:r>
    </w:p>
    <w:p>
      <w:pPr>
        <w:spacing w:after="0" w:line="12"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Bhatnagar is not paid fees for his service on the board of directors but continues to vest in outstanding equity previously awarded to him.</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April 20, 2026, referred to in the table below as the “Beneficial Ownership Date”:</w:t>
      </w:r>
    </w:p>
    <w:p>
      <w:pPr>
        <w:spacing w:after="0" w:line="54"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shares;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9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computing the number of shares beneficially owned by a person and the percentage ownership of that person, ordinary shares subject to options or warrants held by that person that are currently exercisable or exercisable within 60 days of the Beneficial Ownership Date are deemed outstanding but are not deemed outstanding for computing the percentage ownership of any other person. Percentage of beneficial ownership is based on 28,992,435 shares outstanding as of the Beneficial Ownership Date.</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Cambium Networks, Inc., 2000 Center Drive, Suite East A401, Hoffman Estates, Illinois 60192.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41910</wp:posOffset>
            </wp:positionV>
            <wp:extent cx="93980" cy="265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26543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41910</wp:posOffset>
            </wp:positionV>
            <wp:extent cx="137160" cy="265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26543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 beneficially</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ordinary shares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owned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78"/>
        </w:trPr>
        <w:tc>
          <w:tcPr>
            <w:tcW w:w="674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5% Shareholders:</w:t>
            </w:r>
          </w:p>
        </w:tc>
        <w:tc>
          <w:tcPr>
            <w:tcW w:w="14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Vector Cambium Holdings (Cayman), L.P. and its affiliates </w:t>
            </w:r>
            <w:r>
              <w:rPr>
                <w:rFonts w:ascii="Times New Roman" w:cs="Times New Roman" w:eastAsia="Times New Roman" w:hAnsi="Times New Roman"/>
                <w:sz w:val="24"/>
                <w:szCs w:val="24"/>
                <w:color w:val="auto"/>
                <w:vertAlign w:val="superscript"/>
              </w:rPr>
              <w:t>(2)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14,325,696</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331"/>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Alexander R. Slusky </w:t>
            </w:r>
            <w:r>
              <w:rPr>
                <w:rFonts w:ascii="Times New Roman" w:cs="Times New Roman" w:eastAsia="Times New Roman" w:hAnsi="Times New Roman"/>
                <w:sz w:val="24"/>
                <w:szCs w:val="24"/>
                <w:color w:val="auto"/>
                <w:vertAlign w:val="superscript"/>
              </w:rPr>
              <w:t>(2)(3)</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14,579,395</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Robert Amen </w:t>
            </w:r>
            <w:r>
              <w:rPr>
                <w:rFonts w:ascii="Times New Roman" w:cs="Times New Roman" w:eastAsia="Times New Roman" w:hAnsi="Times New Roman"/>
                <w:sz w:val="24"/>
                <w:szCs w:val="24"/>
                <w:color w:val="auto"/>
                <w:vertAlign w:val="superscript"/>
              </w:rPr>
              <w:t>(2)(4)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14,426,055</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Bruce Felt </w:t>
            </w:r>
            <w:r>
              <w:rPr>
                <w:rFonts w:ascii="Times New Roman" w:cs="Times New Roman" w:eastAsia="Times New Roman" w:hAnsi="Times New Roman"/>
                <w:sz w:val="24"/>
                <w:szCs w:val="24"/>
                <w:color w:val="auto"/>
                <w:vertAlign w:val="superscript"/>
              </w:rPr>
              <w:t>(5)</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136,588</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Vikram Verma </w:t>
            </w:r>
            <w:r>
              <w:rPr>
                <w:rFonts w:ascii="Times New Roman" w:cs="Times New Roman" w:eastAsia="Times New Roman" w:hAnsi="Times New Roman"/>
                <w:sz w:val="24"/>
                <w:szCs w:val="24"/>
                <w:color w:val="auto"/>
                <w:vertAlign w:val="superscript"/>
              </w:rPr>
              <w:t>(6)</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134,774</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Kevin Lynch</w:t>
            </w:r>
            <w:r>
              <w:rPr>
                <w:rFonts w:ascii="Times New Roman" w:cs="Times New Roman" w:eastAsia="Times New Roman" w:hAnsi="Times New Roman"/>
                <w:sz w:val="24"/>
                <w:szCs w:val="24"/>
                <w:color w:val="auto"/>
                <w:vertAlign w:val="superscript"/>
              </w:rPr>
              <w:t>(7)</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121,319</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Atul Bhatnagar</w:t>
            </w:r>
            <w:r>
              <w:rPr>
                <w:rFonts w:ascii="Times New Roman" w:cs="Times New Roman" w:eastAsia="Times New Roman" w:hAnsi="Times New Roman"/>
                <w:sz w:val="24"/>
                <w:szCs w:val="24"/>
                <w:color w:val="auto"/>
                <w:vertAlign w:val="superscript"/>
              </w:rPr>
              <w:t>(8)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1,332,986</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Morgan Kurk </w:t>
            </w:r>
            <w:r>
              <w:rPr>
                <w:rFonts w:ascii="Times New Roman" w:cs="Times New Roman" w:eastAsia="Times New Roman" w:hAnsi="Times New Roman"/>
                <w:sz w:val="24"/>
                <w:szCs w:val="24"/>
                <w:color w:val="auto"/>
                <w:vertAlign w:val="superscript"/>
              </w:rPr>
              <w:t>(9)</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648,469</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Vibhu Vivek </w:t>
            </w:r>
            <w:r>
              <w:rPr>
                <w:rFonts w:ascii="Times New Roman" w:cs="Times New Roman" w:eastAsia="Times New Roman" w:hAnsi="Times New Roman"/>
                <w:sz w:val="24"/>
                <w:szCs w:val="24"/>
                <w:color w:val="auto"/>
                <w:vertAlign w:val="superscript"/>
              </w:rPr>
              <w:t>(10)</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310,051</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67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Sally Rau</w:t>
            </w:r>
            <w:r>
              <w:rPr>
                <w:rFonts w:ascii="Times New Roman" w:cs="Times New Roman" w:eastAsia="Times New Roman" w:hAnsi="Times New Roman"/>
                <w:sz w:val="24"/>
                <w:szCs w:val="24"/>
                <w:color w:val="auto"/>
                <w:vertAlign w:val="superscript"/>
              </w:rPr>
              <w:t>(11)</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120,640</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John Waldron</w:t>
            </w:r>
          </w:p>
        </w:tc>
        <w:tc>
          <w:tcPr>
            <w:tcW w:w="14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(14 persons) </w:t>
            </w:r>
            <w:r>
              <w:rPr>
                <w:rFonts w:ascii="Times New Roman" w:cs="Times New Roman" w:eastAsia="Times New Roman" w:hAnsi="Times New Roman"/>
                <w:sz w:val="24"/>
                <w:szCs w:val="24"/>
                <w:color w:val="auto"/>
                <w:vertAlign w:val="superscript"/>
              </w:rPr>
              <w:t>(12)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177,666,303</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2056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2056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pacing w:after="0" w:line="97" w:lineRule="exact"/>
        <w:rPr>
          <w:sz w:val="20"/>
          <w:szCs w:val="20"/>
          <w:color w:val="auto"/>
        </w:rPr>
      </w:pPr>
    </w:p>
    <w:p>
      <w:pPr>
        <w:ind w:left="480" w:right="100" w:hanging="472"/>
        <w:spacing w:after="0" w:line="223" w:lineRule="auto"/>
        <w:tabs>
          <w:tab w:leader="none" w:pos="48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Shares shown in this table include shares held in the beneficial owner’s name or jointly with others, or in the name of a bank, nominee or trustee for the beneficial owner’s account.</w:t>
      </w:r>
    </w:p>
    <w:p>
      <w:pPr>
        <w:spacing w:after="0" w:line="91" w:lineRule="exact"/>
        <w:rPr>
          <w:rFonts w:ascii="Times New Roman" w:cs="Times New Roman" w:eastAsia="Times New Roman" w:hAnsi="Times New Roman"/>
          <w:sz w:val="24"/>
          <w:szCs w:val="24"/>
          <w:color w:val="auto"/>
          <w:vertAlign w:val="superscript"/>
        </w:rPr>
      </w:pPr>
    </w:p>
    <w:p>
      <w:pPr>
        <w:ind w:left="480" w:right="80" w:hanging="472"/>
        <w:spacing w:after="0" w:line="242" w:lineRule="auto"/>
        <w:tabs>
          <w:tab w:leader="none" w:pos="48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12,720,696 shares held by Vector Cambium Holdings (Cayman), L.P., 1,482,000 shares held by Vector Capital IV, L.P., 105,000 shares held by Vector Capital Partners IV, L.P. and 18,000 shares held by Vector Entrepreneur Fund III, L.P. Vector Capital Partners IV, L.P. is the general partner of Vector Cambium Holdings (Cayman), L.P. and Vector Capital IV, L.P., and Vector Capital, Ltd., and Vector Capital, L.L.C. are the general partners of Vector Capital Partners IV, L.P. Vector Capital Partners III, L.P. is the general partner of Vector Entrepreneur Fund III, L.P. The board of directors of Vector Capital, Ltd. consists of Messrs. David Baylor, David Fishman, Robert Amen, Andy Fishman, Stephen Goodman and James Murray, each of whom disclaims beneficial ownership of such shares in excess of his respective pecuniary interest in such shares. The address of each of the entities identified in this note is c/o Vector Capital, 650 California Street, 32nd Floor, San Francisco, California 94105.</w:t>
      </w:r>
    </w:p>
    <w:p>
      <w:pPr>
        <w:spacing w:after="0" w:line="89" w:lineRule="exact"/>
        <w:rPr>
          <w:rFonts w:ascii="Times New Roman" w:cs="Times New Roman" w:eastAsia="Times New Roman" w:hAnsi="Times New Roman"/>
          <w:sz w:val="24"/>
          <w:szCs w:val="24"/>
          <w:color w:val="auto"/>
          <w:vertAlign w:val="superscript"/>
        </w:rPr>
      </w:pPr>
    </w:p>
    <w:p>
      <w:pPr>
        <w:ind w:left="480" w:right="180" w:hanging="472"/>
        <w:spacing w:after="0" w:line="223" w:lineRule="auto"/>
        <w:tabs>
          <w:tab w:leader="none" w:pos="48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(i) 14,325,696 shares held of record by Vector Cambium Holdings (Cayman), L.P. or its affiliates, (ii) 50,432 shares held by Mr. Slusky's grantor trust, (iii) 87,772 shares held by a limited partnership owned by a trust controlled by Mr. Slusky, and (iv)</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7" w:name="page78"/>
    <w:bookmarkEnd w:id="77"/>
    <w:p>
      <w:pPr>
        <w:ind w:left="480" w:right="60"/>
        <w:spacing w:after="0" w:line="281" w:lineRule="auto"/>
        <w:rPr>
          <w:sz w:val="20"/>
          <w:szCs w:val="20"/>
          <w:color w:val="auto"/>
        </w:rPr>
      </w:pPr>
      <w:r>
        <w:rPr>
          <w:rFonts w:ascii="Times New Roman" w:cs="Times New Roman" w:eastAsia="Times New Roman" w:hAnsi="Times New Roman"/>
          <w:sz w:val="17"/>
          <w:szCs w:val="17"/>
          <w:color w:val="auto"/>
        </w:rPr>
        <w:t>30,495 shares held by a limited partnership over which Mr. Slusky exercises investment discretion. Mr. Slusky is the Chief Investment Officer of Vector Capital and as a result may be deemed to have beneficial ownership over shares held of record by Vector Cambium Holdings (Cayman), L.P. or its affiliates. Mr. Slusky disclaims beneficial ownership of such shares except to the extent of his pecuniary interest therein. Also includes 85,000 ordinary shares issuable upon exercise of options as of the Beneficial Ownership Date or that will become exercisable within 60 days of such date.</w:t>
      </w:r>
    </w:p>
    <w:p>
      <w:pPr>
        <w:spacing w:after="0" w:line="56" w:lineRule="exact"/>
        <w:rPr>
          <w:sz w:val="20"/>
          <w:szCs w:val="20"/>
          <w:color w:val="auto"/>
        </w:rPr>
      </w:pPr>
    </w:p>
    <w:p>
      <w:pPr>
        <w:ind w:left="480" w:right="100" w:hanging="472"/>
        <w:spacing w:after="0" w:line="238" w:lineRule="auto"/>
        <w:tabs>
          <w:tab w:leader="none" w:pos="4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(i) 14,325,696 shares held of record by Vector Cambium Holdings (Cayman), L.P. or its affiliates and (ii) 15,359 shares directly held by Mr. Amen. Mr. Amen is a Managing Director of Vector Capital and as a result may be deemed to have beneficial ownership over shares held of record by Vector Cambium Holdings (Cayman), L.P. or it affiliates. Mr. Amen disclaims beneficial ownership of such shares except to the extent of his pecuniary interest therein. Also includes 85,000 ordinary shares issuable upon exercise of options as of Beneficial Ownership Date or that will become exercisable within 60 days of such date.</w:t>
      </w:r>
    </w:p>
    <w:p>
      <w:pPr>
        <w:spacing w:after="0" w:line="93" w:lineRule="exact"/>
        <w:rPr>
          <w:rFonts w:ascii="Times New Roman" w:cs="Times New Roman" w:eastAsia="Times New Roman" w:hAnsi="Times New Roman"/>
          <w:sz w:val="24"/>
          <w:szCs w:val="24"/>
          <w:color w:val="auto"/>
          <w:vertAlign w:val="superscript"/>
        </w:rPr>
      </w:pPr>
    </w:p>
    <w:p>
      <w:pPr>
        <w:ind w:left="480" w:right="120" w:hanging="472"/>
        <w:spacing w:after="0" w:line="223" w:lineRule="auto"/>
        <w:tabs>
          <w:tab w:leader="none" w:pos="4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right="260" w:hanging="472"/>
        <w:spacing w:after="0" w:line="223" w:lineRule="auto"/>
        <w:tabs>
          <w:tab w:leader="none" w:pos="4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126,608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right="260" w:hanging="472"/>
        <w:spacing w:after="0" w:line="223" w:lineRule="auto"/>
        <w:tabs>
          <w:tab w:leader="none" w:pos="4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101,250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right="260" w:hanging="472"/>
        <w:spacing w:after="0" w:line="223" w:lineRule="auto"/>
        <w:tabs>
          <w:tab w:leader="none" w:pos="4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640,625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right="60" w:hanging="472"/>
        <w:spacing w:after="0" w:line="223" w:lineRule="auto"/>
        <w:tabs>
          <w:tab w:leader="none" w:pos="4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600,000 ordinary shares issuable upon exercise of options and the vesting of RSUs as of the Beneficial Ownership Date or that will become exercisable or vested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right="260" w:hanging="472"/>
        <w:spacing w:after="0" w:line="223" w:lineRule="auto"/>
        <w:tabs>
          <w:tab w:leader="none" w:pos="4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217,062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right="260" w:hanging="472"/>
        <w:spacing w:after="0" w:line="223" w:lineRule="auto"/>
        <w:tabs>
          <w:tab w:leader="none" w:pos="4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114,187 ordinary shares issuable upon exercise of options as of the Beneficial Ownership Date or that will become exercisable within 60 days of such date.</w:t>
      </w:r>
    </w:p>
    <w:p>
      <w:pPr>
        <w:spacing w:after="0" w:line="91" w:lineRule="exact"/>
        <w:rPr>
          <w:rFonts w:ascii="Times New Roman" w:cs="Times New Roman" w:eastAsia="Times New Roman" w:hAnsi="Times New Roman"/>
          <w:sz w:val="24"/>
          <w:szCs w:val="24"/>
          <w:color w:val="auto"/>
          <w:vertAlign w:val="superscript"/>
        </w:rPr>
      </w:pPr>
    </w:p>
    <w:p>
      <w:pPr>
        <w:ind w:left="480" w:right="20" w:hanging="472"/>
        <w:spacing w:after="0" w:line="231" w:lineRule="auto"/>
        <w:tabs>
          <w:tab w:leader="none" w:pos="4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3,340,607 ordinary shares held by our directors and executive officers, including 2,277,445 ordinary shares issuable upon exercise of options as of the Beneficial Ownership Date or that will become exercisable within 60 days of such date, and (ii) 14,325,696 shares held of record by Vector Cambium Holdings (Cayman), L.P. or its affiliates for which Messrs. Slusky and Amen may be deemed to have beneficial ownership.</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our equity incentive plans, which were our only equity compensation plans in effect 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420" w:type="dxa"/>
            <w:vAlign w:val="bottom"/>
          </w:tcPr>
          <w:p>
            <w:pPr>
              <w:spacing w:after="0"/>
              <w:rPr>
                <w:sz w:val="12"/>
                <w:szCs w:val="12"/>
                <w:color w:val="auto"/>
              </w:rPr>
            </w:pPr>
          </w:p>
        </w:tc>
        <w:tc>
          <w:tcPr>
            <w:tcW w:w="25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5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gridSpan w:val="3"/>
            <w:vMerge w:val="continue"/>
          </w:tcPr>
          <w:p>
            <w:pPr>
              <w:spacing w:after="0"/>
              <w:rPr>
                <w:sz w:val="12"/>
                <w:szCs w:val="12"/>
                <w:color w:val="auto"/>
              </w:rPr>
            </w:pPr>
          </w:p>
        </w:tc>
        <w:tc>
          <w:tcPr>
            <w:tcW w:w="25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9"/>
        </w:trPr>
        <w:tc>
          <w:tcPr>
            <w:tcW w:w="326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420" w:type="dxa"/>
            <w:vAlign w:val="bottom"/>
          </w:tcPr>
          <w:p>
            <w:pPr>
              <w:spacing w:after="0"/>
              <w:rPr>
                <w:sz w:val="12"/>
                <w:szCs w:val="12"/>
                <w:color w:val="auto"/>
              </w:rPr>
            </w:pPr>
          </w:p>
        </w:tc>
        <w:tc>
          <w:tcPr>
            <w:tcW w:w="25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25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73"/>
        </w:trPr>
        <w:tc>
          <w:tcPr>
            <w:tcW w:w="3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 and rights (a)</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and rights (b)</w:t>
            </w:r>
          </w:p>
        </w:tc>
        <w:tc>
          <w:tcPr>
            <w:tcW w:w="2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column (a)) (c)</w:t>
            </w:r>
          </w:p>
        </w:tc>
        <w:tc>
          <w:tcPr>
            <w:tcW w:w="0" w:type="dxa"/>
            <w:vAlign w:val="bottom"/>
          </w:tcPr>
          <w:p>
            <w:pPr>
              <w:spacing w:after="0"/>
              <w:rPr>
                <w:sz w:val="1"/>
                <w:szCs w:val="1"/>
                <w:color w:val="auto"/>
              </w:rPr>
            </w:pPr>
          </w:p>
        </w:tc>
      </w:tr>
      <w:tr>
        <w:trPr>
          <w:trHeight w:val="191"/>
        </w:trPr>
        <w:tc>
          <w:tcPr>
            <w:tcW w:w="326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40" w:type="dxa"/>
            <w:vAlign w:val="bottom"/>
            <w:shd w:val="clear" w:color="auto" w:fill="CFF0FC"/>
          </w:tcPr>
          <w:p>
            <w:pPr>
              <w:spacing w:after="0"/>
              <w:rPr>
                <w:sz w:val="16"/>
                <w:szCs w:val="16"/>
                <w:color w:val="auto"/>
              </w:rPr>
            </w:pPr>
          </w:p>
        </w:tc>
        <w:tc>
          <w:tcPr>
            <w:tcW w:w="2240" w:type="dxa"/>
            <w:vAlign w:val="bottom"/>
            <w:tcBorders>
              <w:top w:val="single" w:sz="8" w:color="auto"/>
            </w:tcBorders>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780" w:type="dxa"/>
            <w:vAlign w:val="bottom"/>
            <w:tcBorders>
              <w:top w:val="single" w:sz="8" w:color="auto"/>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140" w:type="dxa"/>
            <w:vAlign w:val="bottom"/>
            <w:tcBorders>
              <w:top w:val="single" w:sz="8" w:color="auto"/>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5,582,788</w:t>
            </w:r>
          </w:p>
        </w:tc>
        <w:tc>
          <w:tcPr>
            <w:tcW w:w="4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9.95  </w:t>
            </w:r>
            <w:r>
              <w:rPr>
                <w:rFonts w:ascii="Times New Roman" w:cs="Times New Roman" w:eastAsia="Times New Roman" w:hAnsi="Times New Roman"/>
                <w:sz w:val="10"/>
                <w:szCs w:val="10"/>
                <w:color w:val="auto"/>
              </w:rPr>
              <w:t>(2)</w:t>
            </w:r>
          </w:p>
        </w:tc>
        <w:tc>
          <w:tcPr>
            <w:tcW w:w="2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4,693,028  </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5,582,788</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4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4,693,028</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ordinary shares underlying options, rights and RSUs granted pursuant to our 2019 Share Incentive Plan (the "2019 Plan").</w:t>
      </w:r>
    </w:p>
    <w:p>
      <w:pPr>
        <w:spacing w:after="0" w:line="89" w:lineRule="exact"/>
        <w:rPr>
          <w:rFonts w:ascii="Times New Roman" w:cs="Times New Roman" w:eastAsia="Times New Roman" w:hAnsi="Times New Roman"/>
          <w:sz w:val="24"/>
          <w:szCs w:val="24"/>
          <w:color w:val="auto"/>
          <w:vertAlign w:val="superscript"/>
        </w:rPr>
      </w:pPr>
    </w:p>
    <w:p>
      <w:pPr>
        <w:ind w:left="380" w:right="280" w:hanging="372"/>
        <w:spacing w:after="0" w:line="223" w:lineRule="auto"/>
        <w:tabs>
          <w:tab w:leader="none" w:pos="38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weighted-average exercise price is calculated based solely on outstanding options. It does not take into account our ordinary shares underlying RSUs or PSUs, which have no exercise price.</w:t>
      </w:r>
    </w:p>
    <w:p>
      <w:pPr>
        <w:spacing w:after="0" w:line="91" w:lineRule="exact"/>
        <w:rPr>
          <w:rFonts w:ascii="Times New Roman" w:cs="Times New Roman" w:eastAsia="Times New Roman" w:hAnsi="Times New Roman"/>
          <w:sz w:val="24"/>
          <w:szCs w:val="24"/>
          <w:color w:val="auto"/>
          <w:vertAlign w:val="superscript"/>
        </w:rPr>
      </w:pPr>
    </w:p>
    <w:p>
      <w:pPr>
        <w:ind w:left="380" w:right="40" w:hanging="372"/>
        <w:spacing w:after="0"/>
        <w:tabs>
          <w:tab w:leader="none" w:pos="38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3,598,007 ordinary shares reserved for future issuance under our 2019 Plan and 1,101,984 ordinary shares reserved for future purchase under our 2019 Employee Share Purchase Plan (the "2019 ESPP"). The number of ordinary shares reserved for issuance under our 2019 Plan automatically increases on the first day of each fiscal year, continuing through and including December 31, 2029, by the lesser of (i) 1,320,000 ordinary shares, (ii) 5% of the outstanding ordinary shares as of the first day of such fiscal year, and (iii) an amount determined by our board of directors. Pursuant to this provision, we added 1,320,000 ordinary shares that are available for issuance under the 2019 plan on January 1, 2026, which is not reflected in the table above.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8" w:name="page79"/>
    <w:bookmarkEnd w:id="78"/>
    <w:p>
      <w:pPr>
        <w:ind w:left="380"/>
        <w:spacing w:after="0"/>
        <w:rPr>
          <w:sz w:val="20"/>
          <w:szCs w:val="20"/>
          <w:color w:val="auto"/>
        </w:rPr>
      </w:pPr>
      <w:r>
        <w:rPr>
          <w:rFonts w:ascii="Times New Roman" w:cs="Times New Roman" w:eastAsia="Times New Roman" w:hAnsi="Times New Roman"/>
          <w:sz w:val="18"/>
          <w:szCs w:val="18"/>
          <w:color w:val="auto"/>
        </w:rPr>
        <w:t>The number of ordinary shares reserved for issuance under our 2019 ESPP automatically increases on the first day of each fiscal year, by the lesser of</w:t>
      </w:r>
    </w:p>
    <w:p>
      <w:pPr>
        <w:spacing w:after="0" w:line="27" w:lineRule="exact"/>
        <w:rPr>
          <w:sz w:val="20"/>
          <w:szCs w:val="20"/>
          <w:color w:val="auto"/>
        </w:rPr>
      </w:pPr>
    </w:p>
    <w:p>
      <w:pPr>
        <w:ind w:left="380" w:right="40" w:firstLine="2"/>
        <w:spacing w:after="0" w:line="255" w:lineRule="auto"/>
        <w:tabs>
          <w:tab w:leader="none" w:pos="5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275,000 ordinary shares, (ii) 1% of the outstanding ordinary shares as of the last day of the immediately preceding fiscal year, and (iii) such other amount as the compensation committee of the board of directors may determine. Pursuant to this provision, we added 275,000 ordinary shares that are available for issuance under the 2019 ESPP on January 1, 2026, which is not reflected in the table above.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Other than executive officer and director compensation arrangements discussed in the section titled “Executive compensation,” below we describe transactions since January 1, 2024 to which we were a party or will be a party, in which the amounts involved exceeded or will exceed $120,000; and any of our directors, executive officers or holders of more than 5% of our ordinary shares, or any member of the immediate family of, or person sharing the household with, the foregoing persons, had or will have a direct or indirect material interest.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Vector Capital and its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Agreement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entered into a Shareholder Agreement (the “Shareholder Agreement”) with VCH, L.P. upon the effectiveness of our initial public offering in June 2019. Pursuant to this Shareholder Agreement, Vector Capital is entitled to nominate members of our board of directors as follows: so long as affiliates of Vector Capital own, in the aggregate, (i) more than 5% but up to 25% of our outstanding ordinary shares, Vector Capital will be entitled to nominate one director, (ii) more than 25% but up to 50% of our ordinary shares, Vector Capital will be entitled to nominate two directors or (iii) more than 50% of our ordinary shares, Vector Capital will be entitled to a number of directors proportionate to their voting interest.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Shareholder Agreement, we have granted certain registration rights to Vector Capital. Set forth below is a description of the registration rights granted under the Shareholder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Vector Capital may request in writing that we effect a registration statement of its registrable securities on Form S-1; provided that we shall not be obligated to effect such requested registration if (x) it is for a public offering of ordinary shares reasonably anticipated to have an aggregate offering price to the public of less than $10,000,000 or (y) we then meet the eligibility requirements applicable to use a Form S-3 in connection with such registration and are able to effect such requested registration on Form S-3. We shall be obligated to effect no more than three Form S-1 registrations pursuant to the demand registration rights that have been declared and ordered effective.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Vector Capital may request in writing that we effect a registration statement of its registrable securities on Form S-3; provided that the shares to be sold under such Form S-3 is reasonably anticipated to have an aggregate offering price to the public equal to or greater than $10,000,000.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propose to file a registration statement for a public offering of our securities, subject to certain exceptions, we shall notify all holders of registrable securities and afford them an opportunity to include in the registration all or any part of their registrable securities that each such holder has requested to be registered.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 of registration</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Subject to certain exceptions such as withdrawal of the registration by the securityholders, we will pay all expenses (other than underwriting discounts and commissions) in connection with the demand registration, Form S-3 registration and piggyback registration including, among others, all registration and filing fees, printers’ and accounting fees, fees and disbursements of counsel for us, reasonable fees and disbursements of a single special counsel for the 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registration rights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registration rights discussed above shall terminate as follows on the earlier of (i) the date on which all registrable securities have been sold or otherwise cease to be registrable securities as defined by the Shareholder Agreement and (ii) as to Vector Capital, the date on which it beneficially owns less than 1% of the total voting power of the Company. The rights of Vector Capital to request registration pursuant to a registration statement on Form S-1 shall terminate on the date on which Vector Capital no longer beneficially owns at least 10% of the total voting power.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Limitations on subsequent registration rights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and after the date of the Shareholder Agreement, we shall not without the prior written consent of Vector Capital (i) enter into any agreement with respect to the Company's ordinary shares that is inconsistent with or violates the rights granted to the holders of registrable securities under the Shareholder Agreement nor (ii) grant to any other person any shelf, demand, piggyback or incidental registration rights that are or senior to the rights granted to Vector Capital.</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summary of the Shareholder Agreement contained herein is qualified by reference to the Shareholder Agreement, a copy of which was filed as Exhibit 4.2 to the Company’s Registration Statement on Form S-1/A filed with the SEC on June 13,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Executive Officers and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entered into indemnification agreements with all of our executive officers and directors. Each indemnification agreement provides that we will indemnify the director or executive officer, as the case may be, to the fullest extent permitted by law for claims arising in his or her capacity as our director or executive officer, as the case may be, provided that he or she acted in good faith and in a manner that he or she reasonably believed to be in, or not opposed to, our best interests and, with respect to any criminal proceeding, had no reasonable cause to believe that his or her conduct was unlawful. In the event that we do not assume the defense of a claim against a director or such officer, we will be required to advance his or her expenses in connection with his or her defense, provided that he or she undertakes to repay all amounts advanced if it is ultimately determined that he or she is not entitled to be indemnified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entered into agreements containing compensation, termination and change of control provision, among others, with certain of our executive offices as described in the section entitled “Executive compensation—Employment agreements and Potential payments upon termination or change-in-control”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Related person transactions, which we define as all transactions involving an executive officer, director or a holder of more than 5% of our shares, including any of their immediate family members and any entity owned or controlled by such persons, are reviewed and approved by the audit committee of our board of directors and a majority of disinterested directors on our board.</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any transaction involving a related person, our audit committee and board of directors considers all of the available material facts and circumstances of the transaction, including: the direct and indirect interests of the related persons; in the event the related person is a director (or immediate family member of a director or an entity with which a director is affiliated), the impact that the transaction will have on a director’s independence; the risks, costs and benefits of the transaction to us; and whether any alternative transactions or sources for comparable services or products are available.</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After considering all such facts and circumstances, our audit committee and board of directors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In addition, if a related person transaction will compromise the independence of one of our directors, our audit committee may recommend that our board of directors reject the transaction if it could affect our ability to comply with securities laws and regulations or the Nasdaq listing requirements.</w:t>
      </w:r>
    </w:p>
    <w:p>
      <w:pPr>
        <w:spacing w:after="0" w:line="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policies and procedures described above for reviewing and approving related person transactions are set forth in our Policy for Approval of Related Party Transactions. In addition, the charter for our audit committee provides that one of the committee’s responsibilities is to review and approve in advance any proposed related person transactions.</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Pursuant to the written charter of our audit committee, our audit committee is responsible for reviewing and approving, prior to our entry into any such transaction, all related person transactions involving a principal shareholder, a member of the board of directors, senior management or an immediate family member of any of the aforementioned individuals. In addition, our Code of Business Conduct and Ethics requires that our officers and employees avoid taking for themselves personally opportunities that are discovered through the use of our property, information or position or use of our property, information or position for personal gain.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Although our ordinary shares are no longer listed on Nasdaq, we continue to adhere to Nasdaq’s listing rules and we rely on the controlled company exemption under the Nasdaq corporate governance rules, including exemptions from certain corporate governance requirements such as requirements that: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80" w:name="page81"/>
    <w:bookmarkEnd w:id="80"/>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consists of “independent directors,” as defined under the rules of Nasdaq;</w:t>
      </w:r>
    </w:p>
    <w:p>
      <w:pPr>
        <w:spacing w:after="0" w:line="27" w:lineRule="exact"/>
        <w:rPr>
          <w:rFonts w:ascii="Times New Roman" w:cs="Times New Roman" w:eastAsia="Times New Roman" w:hAnsi="Times New Roman"/>
          <w:sz w:val="18"/>
          <w:szCs w:val="18"/>
          <w:color w:val="auto"/>
        </w:rPr>
      </w:pPr>
    </w:p>
    <w:p>
      <w:pPr>
        <w:ind w:left="760" w:right="160" w:hanging="378"/>
        <w:spacing w:after="0" w:line="250"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the board of directors for determination, by majority vote of the independent directors or by a compensation committee comprised solely of independent directors;</w:t>
      </w:r>
    </w:p>
    <w:p>
      <w:pPr>
        <w:ind w:left="760" w:right="400" w:hanging="378"/>
        <w:spacing w:after="0" w:line="250"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board of directors for selection, by majority vote of the independent directors or by a nomination committee comprised solely of independent director;</w:t>
      </w:r>
    </w:p>
    <w:p>
      <w:pPr>
        <w:ind w:left="760" w:right="580" w:hanging="378"/>
        <w:spacing w:after="0" w:line="250"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be composed entirely of independent directors with a written charter addressing the committee’s purpose and responsibilities;</w:t>
      </w: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nominating and corporate governance and compensation committees.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exemptions do not modify the independence requirements for our audit committee, which require that our audit committee be comprised exclusively of independent directors. Our audit committee is comprised exclusively of independent directors.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Board undertook a review of its composition and the independence of each director. Based upon information requested from and provided by each director concerning his or her background, employment and affiliations, our Board has determined that each of Mr. Felt, Mr. Verma and Mr. Lynch is an “independent director” as defined under Nasdaq listing rules. Mr. Slusky and Mr. Amen are not independent directors because of their affiliation with Vector Capital, our majority shareholder, Mr. Bhatnagar is not independent because he was our former Chief Executive Officer until August 1, 2023 and Mr. Kurk is not independent because he is our current Chief Executive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2025, the Company engaged BDO USA, P.C. (“BDO”) as its independent registered public accounting firm to audit its annual consolidated financial statements for 2023, 2024 and 2025 and to review interim quarterly consolidated financial statements for all quarterly periods in 2025, and to review restated quarterly financial statements for all quarterly periods in 2023 and 2024. BDO's audit fees totaled $2.0 million for its services to audit the Company's annual consolidated financial statements for 2023 and 2024 and to review interim quarterly consolidated financial statements in 2023 and 2024 and $0.8 million to review the interim quarterly consolidated financial statements for all quarterly periods in 2025 and audit the Company's annual consolidated financial statements for 2025. It is not possible to break out the Audit Fees related to each of 2023 and 2024 and, therefore, the amounts represent fees for auditing both years. The Company did not engage BDO for any other audit-related, tax or other consulting services during these periods.</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March 2026, the Company engaged BDO LLP in the United Kingdom (“BDO UK”) as its independent registered public accounting firm to audit its annual financial statements for 2024 for Cambium Networks, Ltd. The audit is currently ongoing and fees are estimated to be $0.2 million. The Company did not engage BDO UK for any other audit-related, tax or other consulting services during these periods.</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its charter, the Audit Committee approves in advance all audit and non-audit services to be provided by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81" w:name="page82"/>
    <w:bookmarkEnd w:id="8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Documents filed as part of this Annual Report on Form 10-K:</w:t>
      </w:r>
    </w:p>
    <w:p>
      <w:pPr>
        <w:spacing w:after="0" w:line="113" w:lineRule="exact"/>
        <w:rPr>
          <w:sz w:val="20"/>
          <w:szCs w:val="20"/>
          <w:color w:val="auto"/>
        </w:rPr>
      </w:pPr>
    </w:p>
    <w:p>
      <w:pPr>
        <w:ind w:left="1020" w:right="280" w:hanging="503"/>
        <w:spacing w:after="0" w:line="28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index lists consolidated financial statements and notes thereto filed as part of this Annual Report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 10-K:</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5180" w:type="dxa"/>
            <w:vAlign w:val="bottom"/>
            <w:gridSpan w:val="6"/>
          </w:tcPr>
          <w:p>
            <w:pPr>
              <w:spacing w:after="0"/>
              <w:rPr>
                <w:sz w:val="17"/>
                <w:szCs w:val="17"/>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87"/>
              </w:rPr>
              <w:t>F-2</w:t>
            </w:r>
          </w:p>
        </w:tc>
      </w:tr>
      <w:tr>
        <w:trPr>
          <w:trHeight w:val="196"/>
        </w:trPr>
        <w:tc>
          <w:tcPr>
            <w:tcW w:w="4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2025</w:t>
            </w:r>
          </w:p>
        </w:tc>
        <w:tc>
          <w:tcPr>
            <w:tcW w:w="20" w:type="dxa"/>
            <w:vAlign w:val="bottom"/>
            <w:tcBorders>
              <w:bottom w:val="single" w:sz="8" w:color="0000EE"/>
            </w:tcBorders>
          </w:tcPr>
          <w:p>
            <w:pPr>
              <w:spacing w:after="0"/>
              <w:rPr>
                <w:sz w:val="17"/>
                <w:szCs w:val="17"/>
                <w:color w:val="auto"/>
              </w:rPr>
            </w:pPr>
          </w:p>
        </w:tc>
        <w:tc>
          <w:tcPr>
            <w:tcW w:w="4940" w:type="dxa"/>
            <w:vAlign w:val="bottom"/>
            <w:gridSpan w:val="4"/>
          </w:tcPr>
          <w:p>
            <w:pPr>
              <w:spacing w:after="0"/>
              <w:rPr>
                <w:sz w:val="17"/>
                <w:szCs w:val="17"/>
                <w:color w:val="auto"/>
              </w:rPr>
            </w:pPr>
          </w:p>
        </w:tc>
        <w:tc>
          <w:tcPr>
            <w:tcW w:w="160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196"/>
        </w:trPr>
        <w:tc>
          <w:tcPr>
            <w:tcW w:w="82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2024 and 2025</w:t>
            </w:r>
          </w:p>
        </w:tc>
        <w:tc>
          <w:tcPr>
            <w:tcW w:w="1340" w:type="dxa"/>
            <w:vAlign w:val="bottom"/>
          </w:tcPr>
          <w:p>
            <w:pPr>
              <w:spacing w:after="0"/>
              <w:rPr>
                <w:sz w:val="17"/>
                <w:szCs w:val="17"/>
                <w:color w:val="auto"/>
              </w:rPr>
            </w:pPr>
          </w:p>
        </w:tc>
        <w:tc>
          <w:tcPr>
            <w:tcW w:w="160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96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Shareholders’ Equity (Deficit) for the years ended December 31, 2024 and 2025</w:t>
            </w:r>
          </w:p>
        </w:tc>
        <w:tc>
          <w:tcPr>
            <w:tcW w:w="160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r>
        <w:trPr>
          <w:trHeight w:val="196"/>
        </w:trPr>
        <w:tc>
          <w:tcPr>
            <w:tcW w:w="78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2025</w:t>
            </w:r>
          </w:p>
        </w:tc>
        <w:tc>
          <w:tcPr>
            <w:tcW w:w="1820" w:type="dxa"/>
            <w:vAlign w:val="bottom"/>
            <w:gridSpan w:val="2"/>
          </w:tcPr>
          <w:p>
            <w:pPr>
              <w:spacing w:after="0"/>
              <w:rPr>
                <w:sz w:val="17"/>
                <w:szCs w:val="17"/>
                <w:color w:val="auto"/>
              </w:rPr>
            </w:pPr>
          </w:p>
        </w:tc>
        <w:tc>
          <w:tcPr>
            <w:tcW w:w="160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87"/>
              </w:rPr>
              <w:t>F-7</w:t>
            </w:r>
          </w:p>
        </w:tc>
      </w:tr>
      <w:tr>
        <w:trPr>
          <w:trHeight w:val="196"/>
        </w:trPr>
        <w:tc>
          <w:tcPr>
            <w:tcW w:w="31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top w:val="single" w:sz="8" w:color="0000FF"/>
              <w:bottom w:val="single" w:sz="8" w:color="0000EE"/>
            </w:tcBorders>
          </w:tcPr>
          <w:p>
            <w:pPr>
              <w:spacing w:after="0"/>
              <w:rPr>
                <w:sz w:val="17"/>
                <w:szCs w:val="17"/>
                <w:color w:val="auto"/>
              </w:rPr>
            </w:pPr>
          </w:p>
        </w:tc>
        <w:tc>
          <w:tcPr>
            <w:tcW w:w="3280" w:type="dxa"/>
            <w:vAlign w:val="bottom"/>
            <w:tcBorders>
              <w:top w:val="single" w:sz="8" w:color="0000FF"/>
            </w:tcBorders>
            <w:gridSpan w:val="4"/>
          </w:tcPr>
          <w:p>
            <w:pPr>
              <w:spacing w:after="0"/>
              <w:rPr>
                <w:sz w:val="17"/>
                <w:szCs w:val="17"/>
                <w:color w:val="auto"/>
              </w:rPr>
            </w:pPr>
          </w:p>
        </w:tc>
        <w:tc>
          <w:tcPr>
            <w:tcW w:w="3160" w:type="dxa"/>
            <w:vAlign w:val="bottom"/>
            <w:gridSpan w:val="3"/>
          </w:tcPr>
          <w:p>
            <w:pPr>
              <w:spacing w:after="0"/>
              <w:rPr>
                <w:sz w:val="17"/>
                <w:szCs w:val="17"/>
                <w:color w:val="auto"/>
              </w:rPr>
            </w:pPr>
          </w:p>
        </w:tc>
        <w:tc>
          <w:tcPr>
            <w:tcW w:w="1600" w:type="dxa"/>
            <w:vAlign w:val="bottom"/>
          </w:tcPr>
          <w:p>
            <w:pPr>
              <w:ind w:left="1360"/>
              <w:spacing w:after="0" w:line="196" w:lineRule="exact"/>
              <w:rPr>
                <w:sz w:val="20"/>
                <w:szCs w:val="20"/>
                <w:color w:val="auto"/>
              </w:rPr>
            </w:pPr>
            <w:r>
              <w:rPr>
                <w:rFonts w:ascii="Times New Roman" w:cs="Times New Roman" w:eastAsia="Times New Roman" w:hAnsi="Times New Roman"/>
                <w:sz w:val="18"/>
                <w:szCs w:val="18"/>
                <w:color w:val="auto"/>
                <w:w w:val="87"/>
              </w:rPr>
              <w:t>F-9</w:t>
            </w:r>
          </w:p>
        </w:tc>
      </w:tr>
    </w:tbl>
    <w:p>
      <w:pPr>
        <w:spacing w:after="0" w:line="248" w:lineRule="exact"/>
        <w:rPr>
          <w:sz w:val="20"/>
          <w:szCs w:val="20"/>
          <w:color w:val="auto"/>
        </w:rPr>
      </w:pPr>
    </w:p>
    <w:p>
      <w:pPr>
        <w:ind w:left="1020" w:right="100" w:hanging="503"/>
        <w:spacing w:after="0" w:line="28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Statement Schedules. </w:t>
      </w:r>
      <w:r>
        <w:rPr>
          <w:rFonts w:ascii="Times New Roman" w:cs="Times New Roman" w:eastAsia="Times New Roman" w:hAnsi="Times New Roman"/>
          <w:sz w:val="18"/>
          <w:szCs w:val="18"/>
          <w:color w:val="auto"/>
        </w:rPr>
        <w:t>All schedules have been omitted because they are not applicable as the required information is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consolidated financial statements or notes thereto.</w:t>
      </w:r>
    </w:p>
    <w:p>
      <w:pPr>
        <w:spacing w:after="0" w:line="46" w:lineRule="exact"/>
        <w:rPr>
          <w:rFonts w:ascii="Times New Roman" w:cs="Times New Roman" w:eastAsia="Times New Roman" w:hAnsi="Times New Roman"/>
          <w:sz w:val="18"/>
          <w:szCs w:val="18"/>
          <w:color w:val="auto"/>
        </w:rPr>
      </w:pPr>
    </w:p>
    <w:p>
      <w:pPr>
        <w:ind w:left="1020" w:right="340" w:hanging="503"/>
        <w:spacing w:after="0" w:line="28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A list of exhibits filed or furnished with this Annual Report on Form 10-K (or incorporated by reference to exhibits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filed by Cambium) is provided in the accompanying Exhibit Index.</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17"/>
        </w:trPr>
        <w:tc>
          <w:tcPr>
            <w:tcW w:w="11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5120" w:type="dxa"/>
            <w:vAlign w:val="bottom"/>
            <w:gridSpan w:val="26"/>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6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vMerge w:val="restart"/>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gridSpan w:val="26"/>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w:t>
            </w:r>
          </w:p>
        </w:tc>
        <w:tc>
          <w:tcPr>
            <w:tcW w:w="55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Amended and Restated Memorandum and Articles of Association to</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720" w:type="dxa"/>
            <w:vAlign w:val="bottom"/>
            <w:gridSpan w:val="27"/>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be effective upon completion of this offering</w:t>
              </w:r>
            </w:hyperlink>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June 13, 2019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w:t>
            </w:r>
          </w:p>
        </w:tc>
        <w:tc>
          <w:tcPr>
            <w:tcW w:w="35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Form of Ordinary Share Certificate of Registrant</w:t>
              </w:r>
            </w:hyperlink>
          </w:p>
        </w:tc>
        <w:tc>
          <w:tcPr>
            <w:tcW w:w="2200" w:type="dxa"/>
            <w:vAlign w:val="bottom"/>
            <w:gridSpan w:val="19"/>
          </w:tcPr>
          <w:p>
            <w:pPr>
              <w:spacing w:after="0"/>
              <w:rPr>
                <w:sz w:val="24"/>
                <w:szCs w:val="24"/>
                <w:color w:val="auto"/>
              </w:rPr>
            </w:pPr>
          </w:p>
        </w:tc>
        <w:tc>
          <w:tcPr>
            <w:tcW w:w="6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4.1</w:t>
            </w:r>
          </w:p>
        </w:tc>
        <w:tc>
          <w:tcPr>
            <w:tcW w:w="16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June 24, 2019</w:t>
            </w:r>
          </w:p>
        </w:tc>
        <w:tc>
          <w:tcPr>
            <w:tcW w:w="0" w:type="dxa"/>
            <w:vAlign w:val="bottom"/>
          </w:tcPr>
          <w:p>
            <w:pPr>
              <w:spacing w:after="0"/>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w:t>
            </w:r>
          </w:p>
        </w:tc>
        <w:tc>
          <w:tcPr>
            <w:tcW w:w="51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Shareholders Agreement by and among Registrant and certain</w:t>
              </w:r>
            </w:hyperlink>
          </w:p>
        </w:tc>
        <w:tc>
          <w:tcPr>
            <w:tcW w:w="58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security holders of Registrant to be effective upon completion of this</w:t>
              </w:r>
            </w:hyperlink>
          </w:p>
        </w:tc>
        <w:tc>
          <w:tcPr>
            <w:tcW w:w="72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720" w:type="dxa"/>
            <w:vAlign w:val="bottom"/>
            <w:gridSpan w:val="27"/>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offering</w:t>
              </w:r>
            </w:hyperlink>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June 13, 2019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w:t>
            </w:r>
          </w:p>
        </w:tc>
        <w:tc>
          <w:tcPr>
            <w:tcW w:w="54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Description of Registrant’s Securities Registered Pursuant to Section 12 of</w:t>
              </w:r>
            </w:hyperlink>
          </w:p>
        </w:tc>
        <w:tc>
          <w:tcPr>
            <w:tcW w:w="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720" w:type="dxa"/>
            <w:vAlign w:val="bottom"/>
            <w:gridSpan w:val="27"/>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the Securities and Exchange Act of 1934</w:t>
              </w:r>
            </w:hyperlink>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001-38952</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8"/>
              </w:rPr>
              <w:t>March 1,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10.1+</w:t>
            </w:r>
          </w:p>
        </w:tc>
        <w:tc>
          <w:tcPr>
            <w:tcW w:w="55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Indemnification Agreement entered into between Registrant and its</w:t>
              </w:r>
            </w:hyperlink>
          </w:p>
        </w:tc>
        <w:tc>
          <w:tcPr>
            <w:tcW w:w="20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720" w:type="dxa"/>
            <w:vAlign w:val="bottom"/>
            <w:gridSpan w:val="27"/>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directors and executive officers</w:t>
              </w:r>
            </w:hyperlink>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May 29, 2019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8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10.2</w:t>
            </w:r>
          </w:p>
        </w:tc>
        <w:tc>
          <w:tcPr>
            <w:tcW w:w="51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Renewal Lease by Reference to an Existing Lease, Part Unit A, Linhay</w:t>
              </w:r>
            </w:hyperlink>
          </w:p>
        </w:tc>
        <w:tc>
          <w:tcPr>
            <w:tcW w:w="56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9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Business Park, Eastern Road, Ashburton, Devon TQ13 7UP, United</w:t>
              </w:r>
            </w:hyperlink>
          </w:p>
        </w:tc>
        <w:tc>
          <w:tcPr>
            <w:tcW w:w="78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Kingdom, dated as of November 22, 2016, by and between Registrant and</w:t>
              </w:r>
            </w:hyperlink>
          </w:p>
        </w:tc>
        <w:tc>
          <w:tcPr>
            <w:tcW w:w="3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Stephanie Myers Palk, Richard John Palk and Alison June Palk</w:t>
              </w:r>
            </w:hyperlink>
          </w:p>
        </w:tc>
        <w:tc>
          <w:tcPr>
            <w:tcW w:w="20" w:type="dxa"/>
            <w:vAlign w:val="bottom"/>
            <w:tcBorders>
              <w:bottom w:val="single" w:sz="8" w:color="0000EE"/>
            </w:tcBorders>
          </w:tcPr>
          <w:p>
            <w:pPr>
              <w:spacing w:after="0"/>
              <w:rPr>
                <w:sz w:val="17"/>
                <w:szCs w:val="17"/>
                <w:color w:val="auto"/>
              </w:rPr>
            </w:pPr>
          </w:p>
        </w:tc>
        <w:tc>
          <w:tcPr>
            <w:tcW w:w="1140" w:type="dxa"/>
            <w:vAlign w:val="bottom"/>
            <w:gridSpan w:val="17"/>
          </w:tcPr>
          <w:p>
            <w:pPr>
              <w:spacing w:after="0"/>
              <w:rPr>
                <w:sz w:val="17"/>
                <w:szCs w:val="17"/>
                <w:color w:val="auto"/>
              </w:rPr>
            </w:pPr>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May 29, 2019</w:t>
            </w:r>
          </w:p>
        </w:tc>
        <w:tc>
          <w:tcPr>
            <w:tcW w:w="0" w:type="dxa"/>
            <w:vAlign w:val="bottom"/>
          </w:tcPr>
          <w:p>
            <w:pPr>
              <w:spacing w:after="0"/>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10.3</w:t>
            </w:r>
          </w:p>
        </w:tc>
        <w:tc>
          <w:tcPr>
            <w:tcW w:w="5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Renewal Lease by Reference to an Existing Lease, Unit B2/3, Linhay</w:t>
              </w:r>
            </w:hyperlink>
          </w:p>
        </w:tc>
        <w:tc>
          <w:tcPr>
            <w:tcW w:w="660" w:type="dxa"/>
            <w:vAlign w:val="bottom"/>
            <w:gridSpan w:val="13"/>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9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Business Park, Eastern Road, Ashburton, Devon TQ13 7UP, United</w:t>
              </w:r>
            </w:hyperlink>
          </w:p>
        </w:tc>
        <w:tc>
          <w:tcPr>
            <w:tcW w:w="78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3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Kingdom, dates as of November 22, 2016, by and between Registrant and</w:t>
              </w:r>
            </w:hyperlink>
          </w:p>
        </w:tc>
        <w:tc>
          <w:tcPr>
            <w:tcW w:w="36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Stephanie Myers Palk, Richard John Palk and Alison June Palk</w:t>
              </w:r>
            </w:hyperlink>
          </w:p>
        </w:tc>
        <w:tc>
          <w:tcPr>
            <w:tcW w:w="20" w:type="dxa"/>
            <w:vAlign w:val="bottom"/>
            <w:tcBorders>
              <w:bottom w:val="single" w:sz="8" w:color="0000EE"/>
            </w:tcBorders>
          </w:tcPr>
          <w:p>
            <w:pPr>
              <w:spacing w:after="0"/>
              <w:rPr>
                <w:sz w:val="17"/>
                <w:szCs w:val="17"/>
                <w:color w:val="auto"/>
              </w:rPr>
            </w:pPr>
          </w:p>
        </w:tc>
        <w:tc>
          <w:tcPr>
            <w:tcW w:w="1140" w:type="dxa"/>
            <w:vAlign w:val="bottom"/>
            <w:gridSpan w:val="17"/>
          </w:tcPr>
          <w:p>
            <w:pPr>
              <w:spacing w:after="0"/>
              <w:rPr>
                <w:sz w:val="17"/>
                <w:szCs w:val="17"/>
                <w:color w:val="auto"/>
              </w:rPr>
            </w:pPr>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May 29, 2019</w:t>
            </w:r>
          </w:p>
        </w:tc>
        <w:tc>
          <w:tcPr>
            <w:tcW w:w="0" w:type="dxa"/>
            <w:vAlign w:val="bottom"/>
          </w:tcPr>
          <w:p>
            <w:pPr>
              <w:spacing w:after="0"/>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10.4</w:t>
            </w:r>
          </w:p>
        </w:tc>
        <w:tc>
          <w:tcPr>
            <w:tcW w:w="5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Renewal Lease by Reference to an Existing Lease, Unit B2/3, Linhay</w:t>
              </w:r>
            </w:hyperlink>
          </w:p>
        </w:tc>
        <w:tc>
          <w:tcPr>
            <w:tcW w:w="660" w:type="dxa"/>
            <w:vAlign w:val="bottom"/>
            <w:gridSpan w:val="13"/>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9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Business Park, Eastern Road, Ashburton, Devon TQ13 7UP, United</w:t>
              </w:r>
            </w:hyperlink>
          </w:p>
        </w:tc>
        <w:tc>
          <w:tcPr>
            <w:tcW w:w="78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9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Kingdom, dated as of April 9, 2018, by and between Registrant and</w:t>
              </w:r>
            </w:hyperlink>
          </w:p>
        </w:tc>
        <w:tc>
          <w:tcPr>
            <w:tcW w:w="80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Stephanie Myers Palk, Richard John Palk and Alison June Palk</w:t>
              </w:r>
            </w:hyperlink>
          </w:p>
        </w:tc>
        <w:tc>
          <w:tcPr>
            <w:tcW w:w="20" w:type="dxa"/>
            <w:vAlign w:val="bottom"/>
            <w:tcBorders>
              <w:bottom w:val="single" w:sz="8" w:color="0000EE"/>
            </w:tcBorders>
          </w:tcPr>
          <w:p>
            <w:pPr>
              <w:spacing w:after="0"/>
              <w:rPr>
                <w:sz w:val="17"/>
                <w:szCs w:val="17"/>
                <w:color w:val="auto"/>
              </w:rPr>
            </w:pPr>
          </w:p>
        </w:tc>
        <w:tc>
          <w:tcPr>
            <w:tcW w:w="1140" w:type="dxa"/>
            <w:vAlign w:val="bottom"/>
            <w:gridSpan w:val="17"/>
          </w:tcPr>
          <w:p>
            <w:pPr>
              <w:spacing w:after="0"/>
              <w:rPr>
                <w:sz w:val="17"/>
                <w:szCs w:val="17"/>
                <w:color w:val="auto"/>
              </w:rPr>
            </w:pPr>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May 29, 2019</w:t>
            </w:r>
          </w:p>
        </w:tc>
        <w:tc>
          <w:tcPr>
            <w:tcW w:w="0" w:type="dxa"/>
            <w:vAlign w:val="bottom"/>
          </w:tcPr>
          <w:p>
            <w:pPr>
              <w:spacing w:after="0"/>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10.5</w:t>
            </w:r>
          </w:p>
        </w:tc>
        <w:tc>
          <w:tcPr>
            <w:tcW w:w="55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Renewal Lease by Reference to an Existing Lease, Unit D1, Linhay Business</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Park, Eastern Road, Ashburton, Devon TQ13 7UP, United Kingdom, dated</w:t>
              </w:r>
            </w:hyperlink>
          </w:p>
        </w:tc>
        <w:tc>
          <w:tcPr>
            <w:tcW w:w="2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as of November 22, 2016, by and between Registrant and Stephanie Myers</w:t>
              </w:r>
            </w:hyperlink>
          </w:p>
        </w:tc>
        <w:tc>
          <w:tcPr>
            <w:tcW w:w="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3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Palk, Richard John Palk and Alison June Palk</w:t>
              </w:r>
            </w:hyperlink>
          </w:p>
        </w:tc>
        <w:tc>
          <w:tcPr>
            <w:tcW w:w="2400" w:type="dxa"/>
            <w:vAlign w:val="bottom"/>
            <w:gridSpan w:val="20"/>
          </w:tcPr>
          <w:p>
            <w:pPr>
              <w:spacing w:after="0"/>
              <w:rPr>
                <w:sz w:val="17"/>
                <w:szCs w:val="17"/>
                <w:color w:val="auto"/>
              </w:rPr>
            </w:pPr>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May 29, 2019</w:t>
            </w:r>
          </w:p>
        </w:tc>
        <w:tc>
          <w:tcPr>
            <w:tcW w:w="0" w:type="dxa"/>
            <w:vAlign w:val="bottom"/>
          </w:tcPr>
          <w:p>
            <w:pPr>
              <w:spacing w:after="0"/>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10.6</w:t>
            </w:r>
          </w:p>
        </w:tc>
        <w:tc>
          <w:tcPr>
            <w:tcW w:w="55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Renewal Lease by Reference to an Existing Lease, Unit D1, Linhay Business</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Park, Eastern Road, Ashburton, Devon TQ13 7UP, United Kingdom, dated</w:t>
              </w:r>
            </w:hyperlink>
          </w:p>
        </w:tc>
        <w:tc>
          <w:tcPr>
            <w:tcW w:w="2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3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as of April 9, 2018, by and between Registrant and Stephanie Myers Palk,</w:t>
              </w:r>
            </w:hyperlink>
          </w:p>
        </w:tc>
        <w:tc>
          <w:tcPr>
            <w:tcW w:w="3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Richard John Palk and Alison June Palk</w:t>
              </w:r>
            </w:hyperlink>
          </w:p>
        </w:tc>
        <w:tc>
          <w:tcPr>
            <w:tcW w:w="2780" w:type="dxa"/>
            <w:vAlign w:val="bottom"/>
            <w:gridSpan w:val="24"/>
          </w:tcPr>
          <w:p>
            <w:pPr>
              <w:spacing w:after="0"/>
              <w:rPr>
                <w:sz w:val="17"/>
                <w:szCs w:val="17"/>
                <w:color w:val="auto"/>
              </w:rPr>
            </w:pPr>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May 29, 2019</w:t>
            </w:r>
          </w:p>
        </w:tc>
        <w:tc>
          <w:tcPr>
            <w:tcW w:w="0" w:type="dxa"/>
            <w:vAlign w:val="bottom"/>
          </w:tcPr>
          <w:p>
            <w:pPr>
              <w:spacing w:after="0"/>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10.7</w:t>
            </w:r>
          </w:p>
        </w:tc>
        <w:tc>
          <w:tcPr>
            <w:tcW w:w="51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Office Lease, dated as of January 31, 2012, by and between Cambium</w:t>
              </w:r>
            </w:hyperlink>
          </w:p>
        </w:tc>
        <w:tc>
          <w:tcPr>
            <w:tcW w:w="62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Networks, Inc. and Atrium at 3800 Golf LLC</w:t>
              </w:r>
            </w:hyperlink>
          </w:p>
        </w:tc>
        <w:tc>
          <w:tcPr>
            <w:tcW w:w="20" w:type="dxa"/>
            <w:vAlign w:val="bottom"/>
            <w:tcBorders>
              <w:bottom w:val="single" w:sz="8" w:color="0000EE"/>
            </w:tcBorders>
          </w:tcPr>
          <w:p>
            <w:pPr>
              <w:spacing w:after="0"/>
              <w:rPr>
                <w:sz w:val="17"/>
                <w:szCs w:val="17"/>
                <w:color w:val="auto"/>
              </w:rPr>
            </w:pPr>
          </w:p>
        </w:tc>
        <w:tc>
          <w:tcPr>
            <w:tcW w:w="2420" w:type="dxa"/>
            <w:vAlign w:val="bottom"/>
            <w:gridSpan w:val="21"/>
          </w:tcPr>
          <w:p>
            <w:pPr>
              <w:spacing w:after="0"/>
              <w:rPr>
                <w:sz w:val="17"/>
                <w:szCs w:val="17"/>
                <w:color w:val="auto"/>
              </w:rPr>
            </w:pPr>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May 29, 2019</w:t>
            </w:r>
          </w:p>
        </w:tc>
        <w:tc>
          <w:tcPr>
            <w:tcW w:w="0" w:type="dxa"/>
            <w:vAlign w:val="bottom"/>
          </w:tcPr>
          <w:p>
            <w:pPr>
              <w:spacing w:after="0"/>
              <w:rPr>
                <w:sz w:val="1"/>
                <w:szCs w:val="1"/>
                <w:color w:val="auto"/>
              </w:rPr>
            </w:pPr>
          </w:p>
        </w:tc>
      </w:tr>
      <w:tr>
        <w:trPr>
          <w:trHeight w:val="412"/>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10.8</w:t>
            </w:r>
          </w:p>
        </w:tc>
        <w:tc>
          <w:tcPr>
            <w:tcW w:w="51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The First Amendment, dated March 6, 2012, by and between Cambium</w:t>
              </w:r>
            </w:hyperlink>
          </w:p>
        </w:tc>
        <w:tc>
          <w:tcPr>
            <w:tcW w:w="54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Networks, Inc. and Atrium at 3800 Golf LLC</w:t>
              </w:r>
            </w:hyperlink>
          </w:p>
        </w:tc>
        <w:tc>
          <w:tcPr>
            <w:tcW w:w="2440" w:type="dxa"/>
            <w:vAlign w:val="bottom"/>
            <w:gridSpan w:val="22"/>
          </w:tcPr>
          <w:p>
            <w:pPr>
              <w:spacing w:after="0"/>
              <w:rPr>
                <w:sz w:val="17"/>
                <w:szCs w:val="17"/>
                <w:color w:val="auto"/>
              </w:rPr>
            </w:pPr>
          </w:p>
        </w:tc>
        <w:tc>
          <w:tcPr>
            <w:tcW w:w="660" w:type="dxa"/>
            <w:vAlign w:val="bottom"/>
          </w:tcPr>
          <w:p>
            <w:pPr>
              <w:jc w:val="center"/>
              <w:ind w:right="11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333-231789</w:t>
            </w:r>
          </w:p>
        </w:tc>
        <w:tc>
          <w:tcPr>
            <w:tcW w:w="820" w:type="dxa"/>
            <w:vAlign w:val="bottom"/>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660" w:type="dxa"/>
            <w:vAlign w:val="bottom"/>
          </w:tcPr>
          <w:p>
            <w:pPr>
              <w:jc w:val="center"/>
              <w:ind w:right="51"/>
              <w:spacing w:after="0" w:line="196" w:lineRule="exact"/>
              <w:rPr>
                <w:sz w:val="20"/>
                <w:szCs w:val="20"/>
                <w:color w:val="auto"/>
              </w:rPr>
            </w:pPr>
            <w:r>
              <w:rPr>
                <w:rFonts w:ascii="Times New Roman" w:cs="Times New Roman" w:eastAsia="Times New Roman" w:hAnsi="Times New Roman"/>
                <w:sz w:val="18"/>
                <w:szCs w:val="18"/>
                <w:color w:val="auto"/>
                <w:w w:val="99"/>
              </w:rPr>
              <w:t>May 29, 2019</w:t>
            </w:r>
          </w:p>
        </w:tc>
        <w:tc>
          <w:tcPr>
            <w:tcW w:w="0" w:type="dxa"/>
            <w:vAlign w:val="bottom"/>
          </w:tcPr>
          <w:p>
            <w:pPr>
              <w:spacing w:after="0"/>
              <w:rPr>
                <w:sz w:val="1"/>
                <w:szCs w:val="1"/>
                <w:color w:val="auto"/>
              </w:rPr>
            </w:pPr>
          </w:p>
        </w:tc>
      </w:tr>
      <w:tr>
        <w:trPr>
          <w:trHeight w:val="668"/>
        </w:trPr>
        <w:tc>
          <w:tcPr>
            <w:tcW w:w="1140" w:type="dxa"/>
            <w:vAlign w:val="bottom"/>
          </w:tcPr>
          <w:p>
            <w:pPr>
              <w:spacing w:after="0"/>
              <w:rPr>
                <w:sz w:val="24"/>
                <w:szCs w:val="24"/>
                <w:color w:val="auto"/>
              </w:rPr>
            </w:pPr>
          </w:p>
        </w:tc>
        <w:tc>
          <w:tcPr>
            <w:tcW w:w="4920" w:type="dxa"/>
            <w:vAlign w:val="bottom"/>
            <w:gridSpan w:val="11"/>
          </w:tcPr>
          <w:p>
            <w:pPr>
              <w:ind w:left="440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ind w:left="740" w:right="680" w:hanging="44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10.9 </w:t>
      </w:r>
      <w:hyperlink r:id="rId174">
        <w:r>
          <w:rPr>
            <w:rFonts w:ascii="Times New Roman" w:cs="Times New Roman" w:eastAsia="Times New Roman" w:hAnsi="Times New Roman"/>
            <w:sz w:val="18"/>
            <w:szCs w:val="18"/>
            <w:u w:val="single" w:color="auto"/>
            <w:color w:val="0000FF"/>
          </w:rPr>
          <w:t>The Second Amendment, dated February 21, 2013, by and between</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FF"/>
          </w:rPr>
          <w:t>Cambium Networks, Inc. and Atrium at 3800 Golf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1127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311277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25577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2557780" cy="8255"/>
                    </a:xfrm>
                    <a:prstGeom prst="rect">
                      <a:avLst/>
                    </a:prstGeom>
                    <a:noFill/>
                  </pic:spPr>
                </pic:pic>
              </a:graphicData>
            </a:graphic>
          </wp:anchor>
        </w:drawing>
      </w:r>
    </w:p>
    <w:p>
      <w:pPr>
        <w:spacing w:after="0" w:line="142" w:lineRule="exact"/>
        <w:rPr>
          <w:sz w:val="20"/>
          <w:szCs w:val="20"/>
          <w:color w:val="auto"/>
        </w:rPr>
      </w:pPr>
    </w:p>
    <w:p>
      <w:pPr>
        <w:ind w:left="740" w:right="460" w:hanging="53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10.10 </w:t>
      </w:r>
      <w:hyperlink r:id="rId177">
        <w:r>
          <w:rPr>
            <w:rFonts w:ascii="Times New Roman" w:cs="Times New Roman" w:eastAsia="Times New Roman" w:hAnsi="Times New Roman"/>
            <w:sz w:val="18"/>
            <w:szCs w:val="18"/>
            <w:u w:val="single" w:color="auto"/>
            <w:color w:val="0000FF"/>
          </w:rPr>
          <w:t>The Third Amendment, dated June 3, 2015, by and between Cambium</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FF"/>
          </w:rPr>
          <w:t>Networks, Inc. and Atrium at 3800 Golf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2492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3249295" cy="8890"/>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20783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142" w:lineRule="exact"/>
        <w:rPr>
          <w:sz w:val="20"/>
          <w:szCs w:val="20"/>
          <w:color w:val="auto"/>
        </w:rPr>
      </w:pPr>
    </w:p>
    <w:p>
      <w:pPr>
        <w:ind w:left="740" w:right="60" w:hanging="53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10.11 </w:t>
      </w:r>
      <w:hyperlink r:id="rId180">
        <w:r>
          <w:rPr>
            <w:rFonts w:ascii="Times New Roman" w:cs="Times New Roman" w:eastAsia="Times New Roman" w:hAnsi="Times New Roman"/>
            <w:sz w:val="18"/>
            <w:szCs w:val="18"/>
            <w:u w:val="single" w:color="auto"/>
            <w:color w:val="0000FF"/>
          </w:rPr>
          <w:t>The Fourth Amendment, dated January 18, 2018, by and between Cambium</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0000FF"/>
          </w:rPr>
          <w:t>Networks, Inc. and Atrium at 3800 Golf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5026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350266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20783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pacing w:after="0" w:line="142" w:lineRule="exact"/>
        <w:rPr>
          <w:sz w:val="20"/>
          <w:szCs w:val="20"/>
          <w:color w:val="auto"/>
        </w:rPr>
      </w:pPr>
    </w:p>
    <w:p>
      <w:pPr>
        <w:ind w:left="740" w:right="60" w:hanging="53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10.12 </w:t>
      </w:r>
      <w:hyperlink r:id="rId183">
        <w:r>
          <w:rPr>
            <w:rFonts w:ascii="Times New Roman" w:cs="Times New Roman" w:eastAsia="Times New Roman" w:hAnsi="Times New Roman"/>
            <w:sz w:val="18"/>
            <w:szCs w:val="18"/>
            <w:u w:val="single" w:color="auto"/>
            <w:color w:val="0000FF"/>
          </w:rPr>
          <w:t>Lease Deed, dated as of June 20, 2016, by and between Cambium Networks</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0000FF"/>
          </w:rPr>
          <w:t>Consulting Private Limited and Umiya Holdings Private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5090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350901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29667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2966720" cy="8255"/>
                    </a:xfrm>
                    <a:prstGeom prst="rect">
                      <a:avLst/>
                    </a:prstGeom>
                    <a:noFill/>
                  </pic:spPr>
                </pic:pic>
              </a:graphicData>
            </a:graphic>
          </wp:anchor>
        </w:drawing>
      </w:r>
    </w:p>
    <w:p>
      <w:pPr>
        <w:spacing w:after="0" w:line="142" w:lineRule="exact"/>
        <w:rPr>
          <w:sz w:val="20"/>
          <w:szCs w:val="20"/>
          <w:color w:val="auto"/>
        </w:rPr>
      </w:pPr>
    </w:p>
    <w:p>
      <w:pPr>
        <w:ind w:left="740" w:right="120" w:hanging="53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10.13 </w:t>
      </w:r>
      <w:hyperlink r:id="rId186">
        <w:r>
          <w:rPr>
            <w:rFonts w:ascii="Times New Roman" w:cs="Times New Roman" w:eastAsia="Times New Roman" w:hAnsi="Times New Roman"/>
            <w:sz w:val="18"/>
            <w:szCs w:val="18"/>
            <w:u w:val="single" w:color="auto"/>
            <w:color w:val="0000FF"/>
          </w:rPr>
          <w:t>Lease, dated as of December 4, 2017, by and between Cambium Networks,</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FF"/>
          </w:rPr>
          <w:t>Inc. and Silicon Valley Center Office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4709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347091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19513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spacing w:after="0" w:line="142" w:lineRule="exact"/>
        <w:rPr>
          <w:sz w:val="20"/>
          <w:szCs w:val="20"/>
          <w:color w:val="auto"/>
        </w:rPr>
      </w:pPr>
    </w:p>
    <w:p>
      <w:pPr>
        <w:jc w:val="center"/>
        <w:ind w:right="36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10.14++  </w:t>
      </w:r>
      <w:hyperlink r:id="rId189">
        <w:r>
          <w:rPr>
            <w:rFonts w:ascii="Times New Roman" w:cs="Times New Roman" w:eastAsia="Times New Roman" w:hAnsi="Times New Roman"/>
            <w:sz w:val="18"/>
            <w:szCs w:val="18"/>
            <w:u w:val="single" w:color="auto"/>
            <w:color w:val="0000FF"/>
          </w:rPr>
          <w:t>Corporate Supply Agreement between Cambium Networks Limited and</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0000FF"/>
          </w:rPr>
          <w:t>Flextronics Telecom Systems, Ltd. dated as of April 23,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3191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331914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28174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spacing w:after="0" w:line="142" w:lineRule="exact"/>
        <w:rPr>
          <w:sz w:val="20"/>
          <w:szCs w:val="20"/>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10.15+  </w:t>
      </w:r>
      <w:hyperlink r:id="rId192">
        <w:r>
          <w:rPr>
            <w:rFonts w:ascii="Times New Roman" w:cs="Times New Roman" w:eastAsia="Times New Roman" w:hAnsi="Times New Roman"/>
            <w:sz w:val="18"/>
            <w:szCs w:val="18"/>
            <w:u w:val="single" w:color="auto"/>
            <w:color w:val="0000FF"/>
          </w:rPr>
          <w:t>2019 Employee Share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-7620</wp:posOffset>
            </wp:positionV>
            <wp:extent cx="16814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color w:val="0000FF"/>
        </w:rPr>
        <w:t>Intentionally Omitted</w:t>
      </w:r>
    </w:p>
    <w:p>
      <w:pPr>
        <w:spacing w:after="0" w:line="225" w:lineRule="exact"/>
        <w:rPr>
          <w:sz w:val="20"/>
          <w:szCs w:val="20"/>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10.17+  </w:t>
      </w:r>
      <w:hyperlink r:id="rId194">
        <w:r>
          <w:rPr>
            <w:rFonts w:ascii="Times New Roman" w:cs="Times New Roman" w:eastAsia="Times New Roman" w:hAnsi="Times New Roman"/>
            <w:sz w:val="18"/>
            <w:szCs w:val="18"/>
            <w:u w:val="single" w:color="auto"/>
            <w:color w:val="0000FF"/>
          </w:rPr>
          <w:t>2019 Share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-7620</wp:posOffset>
            </wp:positionV>
            <wp:extent cx="1202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205" w:lineRule="exact"/>
        <w:rPr>
          <w:sz w:val="20"/>
          <w:szCs w:val="20"/>
          <w:color w:val="auto"/>
        </w:rPr>
      </w:pPr>
    </w:p>
    <w:p>
      <w:pPr>
        <w:ind w:left="740" w:right="60" w:hanging="64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10.18+ </w:t>
      </w:r>
      <w:hyperlink r:id="rId196">
        <w:r>
          <w:rPr>
            <w:rFonts w:ascii="Times New Roman" w:cs="Times New Roman" w:eastAsia="Times New Roman" w:hAnsi="Times New Roman"/>
            <w:sz w:val="18"/>
            <w:szCs w:val="18"/>
            <w:u w:val="single" w:color="auto"/>
            <w:color w:val="0000FF"/>
          </w:rPr>
          <w:t>Form of Share Option Grant Notice and Restricted Share Award Agreement</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0000FF"/>
          </w:rPr>
          <w:t>under 2019 Share Incentive Plan (to be executed by Atul Bhatnagar)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505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31280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3128010" cy="8890"/>
                    </a:xfrm>
                    <a:prstGeom prst="rect">
                      <a:avLst/>
                    </a:prstGeom>
                    <a:noFill/>
                  </pic:spPr>
                </pic:pic>
              </a:graphicData>
            </a:graphic>
          </wp:anchor>
        </w:drawing>
      </w:r>
    </w:p>
    <w:p>
      <w:pPr>
        <w:spacing w:after="0" w:line="142" w:lineRule="exact"/>
        <w:rPr>
          <w:sz w:val="20"/>
          <w:szCs w:val="20"/>
          <w:color w:val="auto"/>
        </w:rPr>
      </w:pPr>
    </w:p>
    <w:p>
      <w:pPr>
        <w:ind w:left="740" w:right="140" w:hanging="64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10.24+ </w:t>
      </w:r>
      <w:hyperlink r:id="rId199">
        <w:r>
          <w:rPr>
            <w:rFonts w:ascii="Times New Roman" w:cs="Times New Roman" w:eastAsia="Times New Roman" w:hAnsi="Times New Roman"/>
            <w:sz w:val="18"/>
            <w:szCs w:val="18"/>
            <w:u w:val="single" w:color="auto"/>
            <w:color w:val="0000FF"/>
          </w:rPr>
          <w:t>Employment agreement, dated as of February 15, 2013, between Cambium</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u w:val="single" w:color="auto"/>
            <w:color w:val="0000FF"/>
          </w:rPr>
          <w:t>Networks, Inc. and Atul Bhatnagar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4613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346138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15989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1598930" cy="8255"/>
                    </a:xfrm>
                    <a:prstGeom prst="rect">
                      <a:avLst/>
                    </a:prstGeom>
                    <a:noFill/>
                  </pic:spPr>
                </pic:pic>
              </a:graphicData>
            </a:graphic>
          </wp:anchor>
        </w:drawing>
      </w:r>
    </w:p>
    <w:p>
      <w:pPr>
        <w:spacing w:after="0" w:line="142" w:lineRule="exact"/>
        <w:rPr>
          <w:sz w:val="20"/>
          <w:szCs w:val="20"/>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w:t>
      </w:r>
      <w:hyperlink r:id="rId202">
        <w:r>
          <w:rPr>
            <w:rFonts w:ascii="Times New Roman" w:cs="Times New Roman" w:eastAsia="Times New Roman" w:hAnsi="Times New Roman"/>
            <w:sz w:val="18"/>
            <w:szCs w:val="18"/>
            <w:u w:val="single" w:color="auto"/>
            <w:color w:val="0000FF"/>
          </w:rPr>
          <w:t>Form of Executive Restricted Share Unit Grant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-7620</wp:posOffset>
            </wp:positionV>
            <wp:extent cx="22142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2214245" cy="8255"/>
                    </a:xfrm>
                    <a:prstGeom prst="rect">
                      <a:avLst/>
                    </a:prstGeom>
                    <a:noFill/>
                  </pic:spPr>
                </pic:pic>
              </a:graphicData>
            </a:graphic>
          </wp:anchor>
        </w:drawing>
      </w:r>
    </w:p>
    <w:p>
      <w:pPr>
        <w:spacing w:after="0" w:line="205" w:lineRule="exact"/>
        <w:rPr>
          <w:sz w:val="20"/>
          <w:szCs w:val="20"/>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10.28+  </w:t>
      </w:r>
      <w:hyperlink r:id="rId204">
        <w:r>
          <w:rPr>
            <w:rFonts w:ascii="Times New Roman" w:cs="Times New Roman" w:eastAsia="Times New Roman" w:hAnsi="Times New Roman"/>
            <w:sz w:val="18"/>
            <w:szCs w:val="18"/>
            <w:u w:val="single" w:color="auto"/>
            <w:color w:val="0000FF"/>
          </w:rPr>
          <w:t>Form of Executive Stock Option Grant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-7620</wp:posOffset>
            </wp:positionV>
            <wp:extent cx="17799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1779905" cy="8890"/>
                    </a:xfrm>
                    <a:prstGeom prst="rect">
                      <a:avLst/>
                    </a:prstGeom>
                    <a:noFill/>
                  </pic:spPr>
                </pic:pic>
              </a:graphicData>
            </a:graphic>
          </wp:anchor>
        </w:drawing>
      </w:r>
    </w:p>
    <w:p>
      <w:pPr>
        <w:spacing w:after="0" w:line="205" w:lineRule="exact"/>
        <w:rPr>
          <w:sz w:val="20"/>
          <w:szCs w:val="20"/>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10.29+  </w:t>
      </w:r>
      <w:hyperlink r:id="rId206">
        <w:r>
          <w:rPr>
            <w:rFonts w:ascii="Times New Roman" w:cs="Times New Roman" w:eastAsia="Times New Roman" w:hAnsi="Times New Roman"/>
            <w:sz w:val="18"/>
            <w:szCs w:val="18"/>
            <w:u w:val="single" w:color="auto"/>
            <w:color w:val="0000FF"/>
          </w:rPr>
          <w:t>Form of Director Stock Option Grant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-7620</wp:posOffset>
            </wp:positionV>
            <wp:extent cx="17037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1703705" cy="8890"/>
                    </a:xfrm>
                    <a:prstGeom prst="rect">
                      <a:avLst/>
                    </a:prstGeom>
                    <a:noFill/>
                  </pic:spPr>
                </pic:pic>
              </a:graphicData>
            </a:graphic>
          </wp:anchor>
        </w:drawing>
      </w:r>
    </w:p>
    <w:p>
      <w:pPr>
        <w:spacing w:after="0" w:line="205" w:lineRule="exact"/>
        <w:rPr>
          <w:sz w:val="20"/>
          <w:szCs w:val="20"/>
          <w:color w:val="auto"/>
        </w:rPr>
      </w:pPr>
    </w:p>
    <w:p>
      <w:pPr>
        <w:ind w:left="740" w:right="500" w:hanging="53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10.34 </w:t>
      </w:r>
      <w:hyperlink r:id="rId208">
        <w:r>
          <w:rPr>
            <w:rFonts w:ascii="Times New Roman" w:cs="Times New Roman" w:eastAsia="Times New Roman" w:hAnsi="Times New Roman"/>
            <w:sz w:val="18"/>
            <w:szCs w:val="18"/>
            <w:u w:val="single" w:color="auto"/>
            <w:color w:val="0000FF"/>
          </w:rPr>
          <w:t>Credit Agreement dated as of November 17, 2021, between Cambium</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0000FF"/>
          </w:rPr>
          <w:t>Networks and Bank of America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2302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323024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14528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1452880" cy="8890"/>
                    </a:xfrm>
                    <a:prstGeom prst="rect">
                      <a:avLst/>
                    </a:prstGeom>
                    <a:noFill/>
                  </pic:spPr>
                </pic:pic>
              </a:graphicData>
            </a:graphic>
          </wp:anchor>
        </w:drawing>
      </w:r>
    </w:p>
    <w:p>
      <w:pPr>
        <w:spacing w:after="0" w:line="142" w:lineRule="exact"/>
        <w:rPr>
          <w:sz w:val="20"/>
          <w:szCs w:val="20"/>
          <w:color w:val="auto"/>
        </w:rPr>
      </w:pPr>
    </w:p>
    <w:p>
      <w:pPr>
        <w:ind w:left="740" w:right="400" w:hanging="53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10.35 </w:t>
      </w:r>
      <w:hyperlink r:id="rId211">
        <w:r>
          <w:rPr>
            <w:rFonts w:ascii="Times New Roman" w:cs="Times New Roman" w:eastAsia="Times New Roman" w:hAnsi="Times New Roman"/>
            <w:sz w:val="18"/>
            <w:szCs w:val="18"/>
            <w:u w:val="single" w:color="auto"/>
            <w:color w:val="0000FF"/>
          </w:rPr>
          <w:t>Security Agreement dated as of November 17, 2021 between Cambium</w:t>
        </w:r>
      </w:hyperlink>
      <w:r>
        <w:rPr>
          <w:rFonts w:ascii="Times New Roman" w:cs="Times New Roman" w:eastAsia="Times New Roman" w:hAnsi="Times New Roman"/>
          <w:sz w:val="18"/>
          <w:szCs w:val="18"/>
          <w:color w:val="auto"/>
        </w:rPr>
        <w:t xml:space="preserve"> </w:t>
      </w:r>
      <w:hyperlink r:id="rId211">
        <w:r>
          <w:rPr>
            <w:rFonts w:ascii="Times New Roman" w:cs="Times New Roman" w:eastAsia="Times New Roman" w:hAnsi="Times New Roman"/>
            <w:sz w:val="18"/>
            <w:szCs w:val="18"/>
            <w:u w:val="single" w:color="auto"/>
            <w:color w:val="0000FF"/>
          </w:rPr>
          <w:t>Networks and Bank of America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2962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329628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14528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1452880" cy="8890"/>
                    </a:xfrm>
                    <a:prstGeom prst="rect">
                      <a:avLst/>
                    </a:prstGeom>
                    <a:noFill/>
                  </pic:spPr>
                </pic:pic>
              </a:graphicData>
            </a:graphic>
          </wp:anchor>
        </w:drawing>
      </w:r>
    </w:p>
    <w:p>
      <w:pPr>
        <w:spacing w:after="0" w:line="142" w:lineRule="exact"/>
        <w:rPr>
          <w:sz w:val="20"/>
          <w:szCs w:val="20"/>
          <w:color w:val="auto"/>
        </w:rPr>
      </w:pPr>
    </w:p>
    <w:p>
      <w:pPr>
        <w:jc w:val="right"/>
        <w:ind w:left="200"/>
        <w:spacing w:after="0" w:line="26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10.36  </w:t>
      </w:r>
      <w:hyperlink r:id="rId214">
        <w:r>
          <w:rPr>
            <w:rFonts w:ascii="Times New Roman" w:cs="Times New Roman" w:eastAsia="Times New Roman" w:hAnsi="Times New Roman"/>
            <w:sz w:val="18"/>
            <w:szCs w:val="18"/>
            <w:u w:val="single" w:color="auto"/>
            <w:color w:val="0000FF"/>
          </w:rPr>
          <w:t>Lease Deed, dated as of April 12, 2021, by and between Cambium Networks</w:t>
        </w:r>
      </w:hyperlink>
      <w:r>
        <w:rPr>
          <w:rFonts w:ascii="Times New Roman" w:cs="Times New Roman" w:eastAsia="Times New Roman" w:hAnsi="Times New Roman"/>
          <w:sz w:val="18"/>
          <w:szCs w:val="18"/>
          <w:color w:val="auto"/>
        </w:rPr>
        <w:t xml:space="preserve"> </w:t>
      </w:r>
      <w:hyperlink r:id="rId214">
        <w:r>
          <w:rPr>
            <w:rFonts w:ascii="Times New Roman" w:cs="Times New Roman" w:eastAsia="Times New Roman" w:hAnsi="Times New Roman"/>
            <w:sz w:val="18"/>
            <w:szCs w:val="18"/>
            <w:u w:val="single" w:color="auto"/>
            <w:color w:val="0000FF"/>
          </w:rPr>
          <w:t>Private Limited and Mr. Jimmy Paymaster and Qualitas Property Consulting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-161925</wp:posOffset>
            </wp:positionV>
            <wp:extent cx="35407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354076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-24765</wp:posOffset>
            </wp:positionV>
            <wp:extent cx="35318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ind w:left="740"/>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-19050</wp:posOffset>
            </wp:positionV>
            <wp:extent cx="2032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187" w:lineRule="exact"/>
        <w:rPr>
          <w:sz w:val="20"/>
          <w:szCs w:val="20"/>
          <w:color w:val="auto"/>
        </w:rPr>
      </w:pPr>
    </w:p>
    <w:p>
      <w:pPr>
        <w:ind w:left="740" w:right="120" w:hanging="53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10.37 </w:t>
      </w:r>
      <w:hyperlink r:id="rId218">
        <w:r>
          <w:rPr>
            <w:rFonts w:ascii="Times New Roman" w:cs="Times New Roman" w:eastAsia="Times New Roman" w:hAnsi="Times New Roman"/>
            <w:sz w:val="18"/>
            <w:szCs w:val="18"/>
            <w:u w:val="single" w:color="auto"/>
            <w:color w:val="0000FF"/>
          </w:rPr>
          <w:t>Lease Deed, dated as of August 5, 2021, by and between Cambium</w:t>
        </w:r>
      </w:hyperlink>
      <w:r>
        <w:rPr>
          <w:rFonts w:ascii="Times New Roman" w:cs="Times New Roman" w:eastAsia="Times New Roman" w:hAnsi="Times New Roman"/>
          <w:sz w:val="18"/>
          <w:szCs w:val="18"/>
          <w:color w:val="auto"/>
        </w:rPr>
        <w:t xml:space="preserve"> </w:t>
      </w:r>
      <w:hyperlink r:id="rId218">
        <w:r>
          <w:rPr>
            <w:rFonts w:ascii="Times New Roman" w:cs="Times New Roman" w:eastAsia="Times New Roman" w:hAnsi="Times New Roman"/>
            <w:sz w:val="18"/>
            <w:szCs w:val="18"/>
            <w:u w:val="single" w:color="auto"/>
            <w:color w:val="0000FF"/>
          </w:rPr>
          <w:t>Networks Private Limited and Umiya Holdings Private Limited and Others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1000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3100070" cy="8890"/>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34366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3436620" cy="8255"/>
                    </a:xfrm>
                    <a:prstGeom prst="rect">
                      <a:avLst/>
                    </a:prstGeom>
                    <a:noFill/>
                  </pic:spPr>
                </pic:pic>
              </a:graphicData>
            </a:graphic>
          </wp:anchor>
        </w:drawing>
      </w:r>
    </w:p>
    <w:p>
      <w:pPr>
        <w:spacing w:after="0" w:line="142" w:lineRule="exact"/>
        <w:rPr>
          <w:sz w:val="20"/>
          <w:szCs w:val="20"/>
          <w:color w:val="auto"/>
        </w:rPr>
      </w:pPr>
    </w:p>
    <w:p>
      <w:pPr>
        <w:ind w:left="740" w:right="220" w:hanging="538"/>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10.38 </w:t>
      </w:r>
      <w:hyperlink r:id="rId221">
        <w:r>
          <w:rPr>
            <w:rFonts w:ascii="Times New Roman" w:cs="Times New Roman" w:eastAsia="Times New Roman" w:hAnsi="Times New Roman"/>
            <w:sz w:val="18"/>
            <w:szCs w:val="18"/>
            <w:u w:val="single" w:color="auto"/>
            <w:color w:val="0000FF"/>
          </w:rPr>
          <w:t>First Amendment to Lease, dated as of December 9 2021, by and between</w:t>
        </w:r>
      </w:hyperlink>
      <w:r>
        <w:rPr>
          <w:rFonts w:ascii="Times New Roman" w:cs="Times New Roman" w:eastAsia="Times New Roman" w:hAnsi="Times New Roman"/>
          <w:sz w:val="18"/>
          <w:szCs w:val="18"/>
          <w:color w:val="auto"/>
        </w:rPr>
        <w:t xml:space="preserve"> </w:t>
      </w:r>
      <w:hyperlink r:id="rId221">
        <w:r>
          <w:rPr>
            <w:rFonts w:ascii="Times New Roman" w:cs="Times New Roman" w:eastAsia="Times New Roman" w:hAnsi="Times New Roman"/>
            <w:sz w:val="18"/>
            <w:szCs w:val="18"/>
            <w:u w:val="single" w:color="auto"/>
            <w:color w:val="0000FF"/>
          </w:rPr>
          <w:t>Cambium Networks, Inc. and Silicon Valley Center Office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-185420</wp:posOffset>
            </wp:positionV>
            <wp:extent cx="34105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3410585" cy="8890"/>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-48260</wp:posOffset>
            </wp:positionV>
            <wp:extent cx="29317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May 29, 2019</w:t>
            </w:r>
          </w:p>
        </w:tc>
      </w:tr>
      <w:tr>
        <w:trPr>
          <w:trHeight w:val="648"/>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May 29, 2019</w:t>
            </w:r>
          </w:p>
        </w:tc>
      </w:tr>
      <w:tr>
        <w:trPr>
          <w:trHeight w:val="648"/>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May 29, 2019</w:t>
            </w:r>
          </w:p>
        </w:tc>
      </w:tr>
      <w:tr>
        <w:trPr>
          <w:trHeight w:val="648"/>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May 29, 2019</w:t>
            </w:r>
          </w:p>
        </w:tc>
      </w:tr>
      <w:tr>
        <w:trPr>
          <w:trHeight w:val="648"/>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May 29, 2019</w:t>
            </w:r>
          </w:p>
        </w:tc>
      </w:tr>
      <w:tr>
        <w:trPr>
          <w:trHeight w:val="648"/>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May 29, 2019</w:t>
            </w:r>
          </w:p>
        </w:tc>
      </w:tr>
      <w:tr>
        <w:trPr>
          <w:trHeight w:val="432"/>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June 13, 2019</w:t>
            </w:r>
          </w:p>
        </w:tc>
      </w:tr>
      <w:tr>
        <w:trPr>
          <w:trHeight w:val="864"/>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June 13, 2019</w:t>
            </w:r>
          </w:p>
        </w:tc>
      </w:tr>
      <w:tr>
        <w:trPr>
          <w:trHeight w:val="648"/>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June 13, 2019</w:t>
            </w:r>
          </w:p>
        </w:tc>
      </w:tr>
      <w:tr>
        <w:trPr>
          <w:trHeight w:val="648"/>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June 13, 2019</w:t>
            </w:r>
          </w:p>
        </w:tc>
      </w:tr>
      <w:tr>
        <w:trPr>
          <w:trHeight w:val="432"/>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June 24, 2019</w:t>
            </w:r>
          </w:p>
        </w:tc>
      </w:tr>
      <w:tr>
        <w:trPr>
          <w:trHeight w:val="432"/>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June 24, 2019</w:t>
            </w:r>
          </w:p>
        </w:tc>
      </w:tr>
      <w:tr>
        <w:trPr>
          <w:trHeight w:val="432"/>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333-231789</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June 24, 2019</w:t>
            </w:r>
          </w:p>
        </w:tc>
      </w:tr>
      <w:tr>
        <w:trPr>
          <w:trHeight w:val="648"/>
        </w:trPr>
        <w:tc>
          <w:tcPr>
            <w:tcW w:w="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001-38952</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November 18, 2021</w:t>
            </w:r>
          </w:p>
        </w:tc>
      </w:tr>
      <w:tr>
        <w:trPr>
          <w:trHeight w:val="648"/>
        </w:trPr>
        <w:tc>
          <w:tcPr>
            <w:tcW w:w="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001-38952</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November 18, 2021</w:t>
            </w:r>
          </w:p>
        </w:tc>
      </w:tr>
      <w:tr>
        <w:trPr>
          <w:trHeight w:val="864"/>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001-38952</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24, 2022</w:t>
            </w:r>
          </w:p>
        </w:tc>
      </w:tr>
      <w:tr>
        <w:trPr>
          <w:trHeight w:val="648"/>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001-38952</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24, 2022</w:t>
            </w:r>
          </w:p>
        </w:tc>
      </w:tr>
      <w:tr>
        <w:trPr>
          <w:trHeight w:val="648"/>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001-38952</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February 24, 2022</w:t>
            </w:r>
          </w:p>
        </w:tc>
      </w:tr>
    </w:tbl>
    <w:p>
      <w:pPr>
        <w:sectPr>
          <w:pgSz w:w="11900" w:h="16838" w:orient="portrait"/>
          <w:cols w:equalWidth="0" w:num="2">
            <w:col w:w="6280" w:space="200"/>
            <w:col w:w="4180"/>
          </w:cols>
          <w:pgMar w:left="720" w:top="985" w:right="51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10.40</w:t>
            </w:r>
          </w:p>
        </w:tc>
        <w:tc>
          <w:tcPr>
            <w:tcW w:w="52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First Amendment to Credit Agreement dated as of June 9, 2023 between</w:t>
              </w:r>
            </w:hyperlink>
          </w:p>
        </w:tc>
        <w:tc>
          <w:tcPr>
            <w:tcW w:w="2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Cambium Networks and Bank of America</w:t>
              </w:r>
            </w:hyperlink>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001-38952</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10.40</w:t>
            </w: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August 2, 2023</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10.43</w:t>
            </w:r>
          </w:p>
        </w:tc>
        <w:tc>
          <w:tcPr>
            <w:tcW w:w="48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Office Lease, dated as of June 1, 2023, buy and between Cambium</w:t>
              </w:r>
            </w:hyperlink>
          </w:p>
        </w:tc>
        <w:tc>
          <w:tcPr>
            <w:tcW w:w="680" w:type="dxa"/>
            <w:vAlign w:val="bottom"/>
            <w:gridSpan w:val="12"/>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5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Networks, Inc. and Hoffman Estates Acquisition LLC and Hoffman Estates</w:t>
              </w:r>
            </w:hyperlink>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Acquisitions II LLC</w:t>
              </w:r>
            </w:hyperlink>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001-38952</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10.43</w:t>
            </w: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August 2, 2023</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10.44</w:t>
            </w:r>
          </w:p>
        </w:tc>
        <w:tc>
          <w:tcPr>
            <w:tcW w:w="54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First Amendment to Office Lease, dated October 16, 2023, by and between</w:t>
              </w:r>
            </w:hyperlink>
          </w:p>
        </w:tc>
        <w:tc>
          <w:tcPr>
            <w:tcW w:w="8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0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Cambium Networks, Inc. and Hoffman Estates Acquisition LLC and</w:t>
              </w:r>
            </w:hyperlink>
          </w:p>
        </w:tc>
        <w:tc>
          <w:tcPr>
            <w:tcW w:w="54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Hoffman Estates Acquisition II LLC</w:t>
              </w:r>
            </w:hyperlink>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001-38952</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10.44</w:t>
            </w: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November 3, 2023</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10.45+</w:t>
            </w:r>
          </w:p>
        </w:tc>
        <w:tc>
          <w:tcPr>
            <w:tcW w:w="52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Employment agreement, dated as of August 1, 2023, between Cambium</w:t>
              </w:r>
            </w:hyperlink>
          </w:p>
        </w:tc>
        <w:tc>
          <w:tcPr>
            <w:tcW w:w="30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Networks, Inc. and Morgan Kurk</w:t>
              </w:r>
            </w:hyperlink>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001-38952</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10.45</w:t>
            </w: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November 3, 2023</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10.46+</w:t>
            </w:r>
          </w:p>
        </w:tc>
        <w:tc>
          <w:tcPr>
            <w:tcW w:w="51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Separation Agreement, dated as of August 1, 2023, between Cambium</w:t>
              </w:r>
            </w:hyperlink>
          </w:p>
        </w:tc>
        <w:tc>
          <w:tcPr>
            <w:tcW w:w="42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Networks, Inc. and Atul Bhatnagar</w:t>
              </w:r>
            </w:hyperlink>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001-38952</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10.46</w:t>
            </w:r>
          </w:p>
        </w:tc>
        <w:tc>
          <w:tcPr>
            <w:tcW w:w="1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November 3, 2023</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10.47</w:t>
            </w:r>
          </w:p>
        </w:tc>
        <w:tc>
          <w:tcPr>
            <w:tcW w:w="5540" w:type="dxa"/>
            <w:vAlign w:val="bottom"/>
            <w:gridSpan w:val="24"/>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Second Amendment to Credit Agreement dated December 29, 2023</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001-38952</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5, 2024</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10.48+*</w:t>
            </w:r>
          </w:p>
        </w:tc>
        <w:tc>
          <w:tcPr>
            <w:tcW w:w="55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Form of Agreement for the Payment of Benefits Following the Termination</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of Employment</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24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Cambium Insider Trading Policy</w:t>
              </w:r>
            </w:hyperlink>
          </w:p>
        </w:tc>
        <w:tc>
          <w:tcPr>
            <w:tcW w:w="3140" w:type="dxa"/>
            <w:vAlign w:val="bottom"/>
            <w:gridSpan w:val="17"/>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001-38952</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w:t>
            </w:r>
          </w:p>
        </w:tc>
        <w:tc>
          <w:tcPr>
            <w:tcW w:w="5540" w:type="dxa"/>
            <w:vAlign w:val="bottom"/>
            <w:gridSpan w:val="24"/>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Subsidiaries of the Registrant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333-231789</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2019</w:t>
            </w: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55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4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8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EE"/>
            </w:tcBorders>
            <w:gridSpan w:val="8"/>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54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6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4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8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tcBorders>
              <w:left w:val="single" w:sz="8" w:color="0000FF"/>
              <w:right w:val="single" w:sz="8" w:color="0000EE"/>
            </w:tcBorders>
            <w:gridSpan w:val="8"/>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16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22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5540" w:type="dxa"/>
            <w:vAlign w:val="bottom"/>
            <w:gridSpan w:val="24"/>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Cambium Networks Corporation Improper Conduct Clawback Policy</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001-38952</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2026</w:t>
            </w:r>
          </w:p>
        </w:tc>
      </w:tr>
      <w:tr>
        <w:trPr>
          <w:trHeight w:val="412"/>
        </w:trPr>
        <w:tc>
          <w:tcPr>
            <w:tcW w:w="1140" w:type="dxa"/>
            <w:vAlign w:val="bottom"/>
          </w:tcPr>
          <w:p>
            <w:pPr>
              <w:spacing w:after="0"/>
              <w:rPr>
                <w:sz w:val="24"/>
                <w:szCs w:val="24"/>
                <w:color w:val="auto"/>
              </w:rPr>
            </w:pPr>
          </w:p>
        </w:tc>
        <w:tc>
          <w:tcPr>
            <w:tcW w:w="50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Cambium Networks Corporation Policy on Recoupment of Incentive</w:t>
            </w:r>
          </w:p>
        </w:tc>
        <w:tc>
          <w:tcPr>
            <w:tcW w:w="54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1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5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Compensation</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4480" w:type="dxa"/>
            <w:vAlign w:val="bottom"/>
            <w:gridSpan w:val="2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55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5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55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860" w:type="dxa"/>
            <w:vAlign w:val="bottom"/>
            <w:gridSpan w:val="12"/>
          </w:tcPr>
          <w:p>
            <w:pPr>
              <w:ind w:left="440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5" w:name="page86"/>
    <w:bookmarkEnd w:id="85"/>
    <w:p>
      <w:pPr>
        <w:ind w:left="1140" w:right="4500" w:hanging="1132"/>
        <w:spacing w:after="0" w:line="28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9512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50" w:lineRule="exact"/>
        <w:rPr>
          <w:sz w:val="20"/>
          <w:szCs w:val="20"/>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portions of this exhibit. These portions have been omitted and have been filed separately with the SEC.</w:t>
      </w:r>
    </w:p>
    <w:p>
      <w:pPr>
        <w:spacing w:after="0" w:line="36" w:lineRule="exact"/>
        <w:rPr>
          <w:rFonts w:ascii="Times New Roman" w:cs="Times New Roman" w:eastAsia="Times New Roman" w:hAnsi="Times New Roman"/>
          <w:sz w:val="18"/>
          <w:szCs w:val="18"/>
          <w:color w:val="auto"/>
        </w:rPr>
      </w:pPr>
    </w:p>
    <w:p>
      <w:pPr>
        <w:ind w:right="9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the exhibit have been excluded because it both (i) is not material and (ii) would be competitively harmful if publicly disclosed. * Filed herewith.</w:t>
      </w:r>
    </w:p>
    <w:p>
      <w:pPr>
        <w:spacing w:after="0" w:line="1" w:lineRule="exact"/>
        <w:rPr>
          <w:sz w:val="20"/>
          <w:szCs w:val="20"/>
          <w:color w:val="auto"/>
        </w:rPr>
      </w:pPr>
    </w:p>
    <w:p>
      <w:pPr>
        <w:ind w:firstLine="8"/>
        <w:spacing w:after="0" w:line="266" w:lineRule="auto"/>
        <w:tabs>
          <w:tab w:leader="none" w:pos="2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Exhibits 32.1 and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5" w:right="539" w:bottom="1440" w:gutter="0" w:footer="0" w:header="0"/>
        </w:sectPr>
      </w:pPr>
    </w:p>
    <w:bookmarkStart w:id="86" w:name="page87"/>
    <w:bookmarkEnd w:id="8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Cambium Networks Corporation</w:t>
      </w:r>
    </w:p>
    <w:p>
      <w:pPr>
        <w:spacing w:after="0" w:line="225" w:lineRule="exact"/>
        <w:rPr>
          <w:sz w:val="20"/>
          <w:szCs w:val="20"/>
          <w:color w:val="auto"/>
        </w:rPr>
      </w:pPr>
    </w:p>
    <w:p>
      <w:pPr>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Mitchell Cohen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4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40"/>
          </w:cols>
          <w:pgMar w:left="320" w:top="981" w:right="439" w:bottom="1440" w:gutter="0" w:footer="0" w:header="0"/>
        </w:sectPr>
      </w:pPr>
    </w:p>
    <w:p>
      <w:pPr>
        <w:spacing w:after="0" w:line="155" w:lineRule="exact"/>
        <w:rPr>
          <w:sz w:val="20"/>
          <w:szCs w:val="20"/>
          <w:color w:val="auto"/>
        </w:rPr>
      </w:pPr>
    </w:p>
    <w:p>
      <w:pPr>
        <w:ind w:left="168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035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3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urk</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Morgan C. Kurk</w:t>
            </w:r>
          </w:p>
        </w:tc>
        <w:tc>
          <w:tcPr>
            <w:tcW w:w="446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Interim Chief Financial Officer (Principal Financial Officer)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Mitchell Cohen</w:t>
            </w:r>
          </w:p>
        </w:tc>
        <w:tc>
          <w:tcPr>
            <w:tcW w:w="4460" w:type="dxa"/>
            <w:vAlign w:val="bottom"/>
          </w:tcPr>
          <w:p>
            <w:pPr>
              <w:spacing w:after="0"/>
              <w:rPr>
                <w:sz w:val="15"/>
                <w:szCs w:val="15"/>
                <w:color w:val="auto"/>
              </w:rPr>
            </w:pPr>
          </w:p>
        </w:tc>
      </w:tr>
      <w:tr>
        <w:trPr>
          <w:trHeight w:val="2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elissa</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ada</w:t>
            </w: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artoli</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Melissa Cada-Bartoli</w:t>
            </w:r>
          </w:p>
        </w:tc>
        <w:tc>
          <w:tcPr>
            <w:tcW w:w="4460" w:type="dxa"/>
            <w:vAlign w:val="bottom"/>
          </w:tcPr>
          <w:p>
            <w:pPr>
              <w:spacing w:after="0"/>
              <w:rPr>
                <w:sz w:val="15"/>
                <w:szCs w:val="15"/>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Amen</w:t>
            </w:r>
          </w:p>
        </w:tc>
        <w:tc>
          <w:tcPr>
            <w:tcW w:w="4460" w:type="dxa"/>
            <w:vAlign w:val="bottom"/>
          </w:tcPr>
          <w:p>
            <w:pPr>
              <w:spacing w:after="0"/>
              <w:rPr>
                <w:sz w:val="15"/>
                <w:szCs w:val="15"/>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lexander</w:t>
            </w:r>
            <w:r>
              <w:rPr>
                <w:rFonts w:ascii="Times New Roman" w:cs="Times New Roman" w:eastAsia="Times New Roman" w:hAnsi="Times New Roman"/>
                <w:sz w:val="18"/>
                <w:szCs w:val="18"/>
                <w:color w:val="auto"/>
              </w:rPr>
              <w:t xml:space="preserve"> R. S</w:t>
            </w:r>
            <w:r>
              <w:rPr>
                <w:rFonts w:ascii="Times New Roman" w:cs="Times New Roman" w:eastAsia="Times New Roman" w:hAnsi="Times New Roman"/>
                <w:sz w:val="12"/>
                <w:szCs w:val="12"/>
                <w:color w:val="auto"/>
              </w:rPr>
              <w:t>lusky</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Alexander R. Slusky</w:t>
            </w:r>
          </w:p>
        </w:tc>
        <w:tc>
          <w:tcPr>
            <w:tcW w:w="4460" w:type="dxa"/>
            <w:vAlign w:val="bottom"/>
          </w:tcPr>
          <w:p>
            <w:pPr>
              <w:spacing w:after="0"/>
              <w:rPr>
                <w:sz w:val="15"/>
                <w:szCs w:val="15"/>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ruce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elt</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Bruce Felt</w:t>
            </w:r>
          </w:p>
        </w:tc>
        <w:tc>
          <w:tcPr>
            <w:tcW w:w="4460" w:type="dxa"/>
            <w:vAlign w:val="bottom"/>
          </w:tcPr>
          <w:p>
            <w:pPr>
              <w:spacing w:after="0"/>
              <w:rPr>
                <w:sz w:val="15"/>
                <w:szCs w:val="15"/>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V</w:t>
            </w:r>
            <w:r>
              <w:rPr>
                <w:rFonts w:ascii="Times New Roman" w:cs="Times New Roman" w:eastAsia="Times New Roman" w:hAnsi="Times New Roman"/>
                <w:sz w:val="12"/>
                <w:szCs w:val="12"/>
                <w:color w:val="auto"/>
              </w:rPr>
              <w:t>ikram</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erma</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Vikram Verma</w:t>
            </w:r>
          </w:p>
        </w:tc>
        <w:tc>
          <w:tcPr>
            <w:tcW w:w="4460" w:type="dxa"/>
            <w:vAlign w:val="bottom"/>
          </w:tcPr>
          <w:p>
            <w:pPr>
              <w:spacing w:after="0"/>
              <w:rPr>
                <w:sz w:val="15"/>
                <w:szCs w:val="15"/>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evin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ynch</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Kevin Lynch</w:t>
            </w:r>
          </w:p>
        </w:tc>
        <w:tc>
          <w:tcPr>
            <w:tcW w:w="4460" w:type="dxa"/>
            <w:vAlign w:val="bottom"/>
          </w:tcPr>
          <w:p>
            <w:pPr>
              <w:spacing w:after="0"/>
              <w:rPr>
                <w:sz w:val="15"/>
                <w:szCs w:val="15"/>
                <w:color w:val="auto"/>
              </w:rPr>
            </w:pPr>
          </w:p>
        </w:tc>
      </w:tr>
      <w:tr>
        <w:trPr>
          <w:trHeight w:val="32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tul</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hatnagar</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Atul Bhatnagar</w:t>
            </w:r>
          </w:p>
        </w:tc>
        <w:tc>
          <w:tcPr>
            <w:tcW w:w="44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534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417" w:lineRule="exact"/>
        <w:rPr>
          <w:sz w:val="20"/>
          <w:szCs w:val="20"/>
          <w:color w:val="auto"/>
        </w:rPr>
      </w:pPr>
    </w:p>
    <w:p>
      <w:pPr>
        <w:sectPr>
          <w:pgSz w:w="11900" w:h="16838" w:orient="portrait"/>
          <w:cols w:equalWidth="0" w:num="2">
            <w:col w:w="8180" w:space="640"/>
            <w:col w:w="2320"/>
          </w:cols>
          <w:pgMar w:left="320" w:top="981" w:right="439" w:bottom="1440" w:gutter="0" w:footer="0" w:header="0"/>
          <w:type w:val="continuous"/>
        </w:sectPr>
      </w:pP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1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2900" w:type="dxa"/>
            <w:vAlign w:val="bottom"/>
          </w:tcPr>
          <w:p>
            <w:pPr>
              <w:spacing w:after="0"/>
              <w:rPr>
                <w:sz w:val="20"/>
                <w:szCs w:val="20"/>
                <w:color w:val="auto"/>
              </w:rPr>
            </w:pPr>
          </w:p>
        </w:tc>
      </w:tr>
      <w:tr>
        <w:trPr>
          <w:trHeight w:val="432"/>
        </w:trPr>
        <w:tc>
          <w:tcPr>
            <w:tcW w:w="8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(BDO USA, P.C., Chicago, IL, Auditor Firm ID: 00243)</w:t>
            </w:r>
          </w:p>
        </w:tc>
        <w:tc>
          <w:tcPr>
            <w:tcW w:w="290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6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2025</w:t>
            </w:r>
          </w:p>
        </w:tc>
        <w:tc>
          <w:tcPr>
            <w:tcW w:w="20" w:type="dxa"/>
            <w:vAlign w:val="bottom"/>
            <w:tcBorders>
              <w:bottom w:val="single" w:sz="8" w:color="0000EE"/>
            </w:tcBorders>
          </w:tcPr>
          <w:p>
            <w:pPr>
              <w:spacing w:after="0"/>
              <w:rPr>
                <w:sz w:val="17"/>
                <w:szCs w:val="17"/>
                <w:color w:val="auto"/>
              </w:rPr>
            </w:pPr>
          </w:p>
        </w:tc>
        <w:tc>
          <w:tcPr>
            <w:tcW w:w="3660" w:type="dxa"/>
            <w:vAlign w:val="bottom"/>
            <w:gridSpan w:val="4"/>
          </w:tcPr>
          <w:p>
            <w:pPr>
              <w:spacing w:after="0"/>
              <w:rPr>
                <w:sz w:val="17"/>
                <w:szCs w:val="17"/>
                <w:color w:val="auto"/>
              </w:rPr>
            </w:pPr>
          </w:p>
        </w:tc>
        <w:tc>
          <w:tcPr>
            <w:tcW w:w="2900" w:type="dxa"/>
            <w:vAlign w:val="bottom"/>
          </w:tcPr>
          <w:p>
            <w:pPr>
              <w:ind w:left="2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82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2024 and 2025</w:t>
            </w:r>
          </w:p>
        </w:tc>
        <w:tc>
          <w:tcPr>
            <w:tcW w:w="60" w:type="dxa"/>
            <w:vAlign w:val="bottom"/>
          </w:tcPr>
          <w:p>
            <w:pPr>
              <w:spacing w:after="0"/>
              <w:rPr>
                <w:sz w:val="17"/>
                <w:szCs w:val="17"/>
                <w:color w:val="auto"/>
              </w:rPr>
            </w:pPr>
          </w:p>
        </w:tc>
        <w:tc>
          <w:tcPr>
            <w:tcW w:w="2900" w:type="dxa"/>
            <w:vAlign w:val="bottom"/>
          </w:tcPr>
          <w:p>
            <w:pPr>
              <w:ind w:left="2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8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Shareholders’ Equity (Deficit) for the years ended December 31, 2024 and 2025</w:t>
            </w:r>
          </w:p>
        </w:tc>
        <w:tc>
          <w:tcPr>
            <w:tcW w:w="2900" w:type="dxa"/>
            <w:vAlign w:val="bottom"/>
          </w:tcPr>
          <w:p>
            <w:pPr>
              <w:ind w:left="2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78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2025</w:t>
            </w:r>
          </w:p>
        </w:tc>
        <w:tc>
          <w:tcPr>
            <w:tcW w:w="540" w:type="dxa"/>
            <w:vAlign w:val="bottom"/>
            <w:gridSpan w:val="2"/>
          </w:tcPr>
          <w:p>
            <w:pPr>
              <w:spacing w:after="0"/>
              <w:rPr>
                <w:sz w:val="17"/>
                <w:szCs w:val="17"/>
                <w:color w:val="auto"/>
              </w:rPr>
            </w:pPr>
          </w:p>
        </w:tc>
        <w:tc>
          <w:tcPr>
            <w:tcW w:w="2900" w:type="dxa"/>
            <w:vAlign w:val="bottom"/>
          </w:tcPr>
          <w:p>
            <w:pPr>
              <w:ind w:left="2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646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80" w:type="dxa"/>
            <w:vAlign w:val="bottom"/>
            <w:gridSpan w:val="3"/>
          </w:tcPr>
          <w:p>
            <w:pPr>
              <w:spacing w:after="0"/>
              <w:rPr>
                <w:sz w:val="17"/>
                <w:szCs w:val="17"/>
                <w:color w:val="auto"/>
              </w:rPr>
            </w:pPr>
          </w:p>
        </w:tc>
        <w:tc>
          <w:tcPr>
            <w:tcW w:w="2900" w:type="dxa"/>
            <w:vAlign w:val="bottom"/>
          </w:tcPr>
          <w:p>
            <w:pPr>
              <w:ind w:left="2640"/>
              <w:spacing w:after="0" w:line="196" w:lineRule="exact"/>
              <w:rPr>
                <w:sz w:val="20"/>
                <w:szCs w:val="20"/>
                <w:color w:val="auto"/>
              </w:rPr>
            </w:pPr>
            <w:r>
              <w:rPr>
                <w:rFonts w:ascii="Times New Roman" w:cs="Times New Roman" w:eastAsia="Times New Roman" w:hAnsi="Times New Roman"/>
                <w:sz w:val="18"/>
                <w:szCs w:val="18"/>
                <w:color w:val="auto"/>
                <w:w w:val="95"/>
              </w:rPr>
              <w:t>F-9</w:t>
            </w:r>
          </w:p>
        </w:tc>
      </w:tr>
      <w:tr>
        <w:trPr>
          <w:trHeight w:val="668"/>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color w:val="auto"/>
                <w:w w:val="95"/>
              </w:rPr>
              <w:t>F-1</w:t>
            </w:r>
          </w:p>
        </w:tc>
        <w:tc>
          <w:tcPr>
            <w:tcW w:w="290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-1619885</wp:posOffset>
            </wp:positionV>
            <wp:extent cx="285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Cambium Networks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Hoffman Estates, Illinois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Cambium Networks Corporation (the “Company”) as of December 31, 2025 and 2024, the related consolidated statements of operations and comprehensive loss, shareholders’ equity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Uncertainty</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will not have sufficient cash and cash equivalents to repay amounts owed under its existing debt arrangements as they become due in 2026 without additional financing and uncertainties exist about the Company’s ability to refinance these debt arrangements. These conditions raise substantial doubt about the Company’s ability to continue as a going concern. Management’s plans in regards to these matters are also described in Note 1. The consolidated financial statements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Finished Goods - Excess or Obsolete Inventory Reserve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described in Notes 1 and 2 to the consolidated financial statements, the Company records an inventory valuation allowance for finished goods excess or obsolete inventory. The determination of excess or obsolete inventory is based on a comparison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quantity and cost of inventory on hand versus the Company's remaining lifetime demand, consideration of historical sales, and management’s judgment.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reserve for excess or obsolete inventory totaled approximately $28.9 million as of December 31, 2025.</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identified the auditing of the remaining lifetime demand used in the calculation of the finished goods excess or obsolete inventory reserve as a critical audit matter. Auditing the assumptions used by management in determining the finished goods excess and obsolete inventory reserve involved especially challenging auditor judgment due to the nature and extent of audit effort required to address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760" w:right="1040" w:hanging="378"/>
        <w:spacing w:after="0" w:line="261"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recent historical product sales used in the calculation through examination of source documentation.</w:t>
      </w:r>
    </w:p>
    <w:p>
      <w:pPr>
        <w:ind w:left="760" w:hanging="378"/>
        <w:spacing w:after="0" w:line="260"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remaining lifetime demand by testing selected finished goods and obtaining supporting documentation, performing inquiries, and comparing to historical results, where applicable.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90" w:name="page91"/>
    <w:bookmarkEnd w:id="90"/>
    <w:p>
      <w:pPr>
        <w:ind w:left="3900"/>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as of December 31, 2024 and 2025</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34,925</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11,056</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Receivables, net of allowance for credit losses of $3,402 and $3,402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40,405</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40,275</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Inventories, net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41,990</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27,523</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11,667</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7,572</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tcPr>
          <w:p>
            <w:pPr>
              <w:spacing w:after="0"/>
              <w:rPr>
                <w:sz w:val="17"/>
                <w:szCs w:val="17"/>
                <w:color w:val="auto"/>
              </w:rPr>
            </w:pPr>
          </w:p>
        </w:tc>
      </w:tr>
      <w:tr>
        <w:trPr>
          <w:trHeight w:val="196"/>
        </w:trPr>
        <w:tc>
          <w:tcPr>
            <w:tcW w:w="75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136,538</w:t>
            </w:r>
          </w:p>
        </w:tc>
        <w:tc>
          <w:tcPr>
            <w:tcW w:w="3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4,426</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Software,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11,992</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21,814</w:t>
            </w:r>
          </w:p>
        </w:tc>
        <w:tc>
          <w:tcPr>
            <w:tcW w:w="100" w:type="dxa"/>
            <w:vAlign w:val="bottom"/>
          </w:tcPr>
          <w:p>
            <w:pPr>
              <w:spacing w:after="0"/>
              <w:rPr>
                <w:sz w:val="17"/>
                <w:szCs w:val="17"/>
                <w:color w:val="auto"/>
              </w:rPr>
            </w:pPr>
          </w:p>
        </w:tc>
      </w:tr>
      <w:tr>
        <w:trPr>
          <w:trHeight w:val="236"/>
        </w:trPr>
        <w:tc>
          <w:tcPr>
            <w:tcW w:w="7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173,728</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137,141</w:t>
            </w:r>
          </w:p>
        </w:tc>
        <w:tc>
          <w:tcPr>
            <w:tcW w:w="100" w:type="dxa"/>
            <w:vAlign w:val="bottom"/>
            <w:shd w:val="clear" w:color="auto" w:fill="CFF0FC"/>
          </w:tcPr>
          <w:p>
            <w:pPr>
              <w:spacing w:after="0"/>
              <w:rPr>
                <w:sz w:val="20"/>
                <w:szCs w:val="20"/>
                <w:color w:val="auto"/>
              </w:rPr>
            </w:pPr>
          </w:p>
        </w:tc>
      </w:tr>
      <w:tr>
        <w:trPr>
          <w:trHeight w:val="183"/>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DEFICIT</w:t>
            </w: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16,487</w:t>
            </w:r>
          </w:p>
        </w:tc>
        <w:tc>
          <w:tcPr>
            <w:tcW w:w="3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30,980</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34,281</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Employee compensation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67,639</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66,383</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9,173</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8,434</w:t>
            </w:r>
          </w:p>
        </w:tc>
        <w:tc>
          <w:tcPr>
            <w:tcW w:w="3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135,911</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137,353</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12,182</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8,942</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8,785</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18,422</w:t>
            </w:r>
          </w:p>
        </w:tc>
        <w:tc>
          <w:tcPr>
            <w:tcW w:w="3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176,965</w:t>
            </w: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173,089</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capital; $0.0001 par value; 500,000,000 shares authorized at December 31, 2024 and December 31, 2025;</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28,885,152 shares issued and 28,612,181 outstanding at December 31, 2024 and 29,353,526 shares issued and</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28,943,114 outstanding at December 31, 2025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163,441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169,796</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Treasury shares, at cost, 272,971 shares at December 31, 2024 and 410,412 shares at December 31, 2025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(5,665)</w:t>
            </w: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(5,753)</w:t>
            </w: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(158,855)</w:t>
            </w:r>
          </w:p>
        </w:tc>
        <w:tc>
          <w:tcPr>
            <w:tcW w:w="2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(197,393)</w:t>
            </w: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(2,161)</w:t>
            </w: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(2,601)</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(3,237)</w:t>
            </w:r>
          </w:p>
        </w:tc>
        <w:tc>
          <w:tcPr>
            <w:tcW w:w="2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(35,948)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b w:val="1"/>
                <w:bCs w:val="1"/>
                <w:color w:val="auto"/>
              </w:rPr>
              <w:t>TOTAL LIABILITIES AND DEFICIT</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173,728</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137,141</w:t>
            </w:r>
          </w:p>
        </w:tc>
        <w:tc>
          <w:tcPr>
            <w:tcW w:w="100" w:type="dxa"/>
            <w:vAlign w:val="bottom"/>
            <w:shd w:val="clear" w:color="auto" w:fill="CFF0FC"/>
          </w:tcPr>
          <w:p>
            <w:pPr>
              <w:spacing w:after="0"/>
              <w:rPr>
                <w:sz w:val="18"/>
                <w:szCs w:val="18"/>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-4491355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-3445510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-3428365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-2390775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-1602105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-299720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40" w:type="dxa"/>
            <w:vAlign w:val="bottom"/>
          </w:tcPr>
          <w:p>
            <w:pPr>
              <w:spacing w:after="0"/>
              <w:rPr>
                <w:sz w:val="12"/>
                <w:szCs w:val="12"/>
                <w:color w:val="auto"/>
              </w:rPr>
            </w:pPr>
          </w:p>
        </w:tc>
        <w:tc>
          <w:tcPr>
            <w:tcW w:w="1080" w:type="dxa"/>
            <w:vAlign w:val="bottom"/>
            <w:tcBorders>
              <w:bottom w:val="single" w:sz="8" w:color="auto"/>
            </w:tcBorders>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157,805</w:t>
            </w:r>
          </w:p>
        </w:tc>
        <w:tc>
          <w:tcPr>
            <w:tcW w:w="18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141,277</w:t>
            </w:r>
          </w:p>
        </w:tc>
        <w:tc>
          <w:tcPr>
            <w:tcW w:w="100" w:type="dxa"/>
            <w:vAlign w:val="bottom"/>
          </w:tcPr>
          <w:p>
            <w:pPr>
              <w:spacing w:after="0"/>
              <w:rPr>
                <w:sz w:val="18"/>
                <w:szCs w:val="18"/>
                <w:color w:val="auto"/>
              </w:rPr>
            </w:pPr>
          </w:p>
        </w:tc>
      </w:tr>
      <w:tr>
        <w:trPr>
          <w:trHeight w:val="203"/>
        </w:trPr>
        <w:tc>
          <w:tcPr>
            <w:tcW w:w="7140" w:type="dxa"/>
            <w:vAlign w:val="bottom"/>
            <w:tcBorders>
              <w:bottom w:val="single" w:sz="8" w:color="CFF0FC"/>
            </w:tcBorders>
            <w:shd w:val="clear" w:color="auto" w:fill="CFF0FC"/>
          </w:tcPr>
          <w:p>
            <w:pPr>
              <w:ind w:left="140"/>
              <w:spacing w:after="0" w:line="202" w:lineRule="exact"/>
              <w:rPr>
                <w:sz w:val="20"/>
                <w:szCs w:val="20"/>
                <w:color w:val="auto"/>
              </w:rPr>
            </w:pPr>
            <w:r>
              <w:rPr>
                <w:rFonts w:ascii="Times New Roman" w:cs="Times New Roman" w:eastAsia="Times New Roman" w:hAnsi="Times New Roman"/>
                <w:sz w:val="18"/>
                <w:szCs w:val="18"/>
                <w:color w:val="auto"/>
              </w:rPr>
              <w:t>Subscriptions and services</w:t>
            </w:r>
          </w:p>
        </w:tc>
        <w:tc>
          <w:tcPr>
            <w:tcW w:w="10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19,481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159,645</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86,307</w:t>
            </w:r>
          </w:p>
        </w:tc>
        <w:tc>
          <w:tcPr>
            <w:tcW w:w="100" w:type="dxa"/>
            <w:vAlign w:val="bottom"/>
          </w:tcPr>
          <w:p>
            <w:pPr>
              <w:spacing w:after="0"/>
              <w:rPr>
                <w:sz w:val="18"/>
                <w:szCs w:val="18"/>
                <w:color w:val="auto"/>
              </w:rPr>
            </w:pPr>
          </w:p>
        </w:tc>
      </w:tr>
      <w:tr>
        <w:trPr>
          <w:trHeight w:val="203"/>
        </w:trPr>
        <w:tc>
          <w:tcPr>
            <w:tcW w:w="7140" w:type="dxa"/>
            <w:vAlign w:val="bottom"/>
            <w:tcBorders>
              <w:bottom w:val="single" w:sz="8" w:color="CFF0FC"/>
            </w:tcBorders>
            <w:shd w:val="clear" w:color="auto" w:fill="CFF0FC"/>
          </w:tcPr>
          <w:p>
            <w:pPr>
              <w:ind w:left="140"/>
              <w:spacing w:after="0" w:line="202" w:lineRule="exact"/>
              <w:rPr>
                <w:sz w:val="20"/>
                <w:szCs w:val="20"/>
                <w:color w:val="auto"/>
              </w:rPr>
            </w:pPr>
            <w:r>
              <w:rPr>
                <w:rFonts w:ascii="Times New Roman" w:cs="Times New Roman" w:eastAsia="Times New Roman" w:hAnsi="Times New Roman"/>
                <w:sz w:val="18"/>
                <w:szCs w:val="18"/>
                <w:color w:val="auto"/>
              </w:rPr>
              <w:t>Subscriptions and services</w:t>
            </w:r>
          </w:p>
        </w:tc>
        <w:tc>
          <w:tcPr>
            <w:tcW w:w="10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0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95,474</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54,970</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0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0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64,171</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32,863</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31,186</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26,427</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shd w:val="clear" w:color="auto" w:fill="CFF0FC"/>
          </w:tcPr>
          <w:p>
            <w:pPr>
              <w:spacing w:after="0"/>
              <w:rPr>
                <w:sz w:val="18"/>
                <w:szCs w:val="18"/>
                <w:color w:val="auto"/>
              </w:rPr>
            </w:pPr>
          </w:p>
        </w:tc>
      </w:tr>
      <w:tr>
        <w:trPr>
          <w:trHeight w:val="203"/>
        </w:trPr>
        <w:tc>
          <w:tcPr>
            <w:tcW w:w="71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Impairment</w:t>
            </w:r>
          </w:p>
        </w:tc>
        <w:tc>
          <w:tcPr>
            <w:tcW w:w="10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r>
      <w:tr>
        <w:trPr>
          <w:trHeight w:val="210"/>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133,342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(70,411)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(27,963)</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9,020</w:t>
            </w:r>
          </w:p>
        </w:tc>
        <w:tc>
          <w:tcPr>
            <w:tcW w:w="100" w:type="dxa"/>
            <w:vAlign w:val="bottom"/>
            <w:shd w:val="clear" w:color="auto" w:fill="CFF0FC"/>
          </w:tcPr>
          <w:p>
            <w:pPr>
              <w:spacing w:after="0"/>
              <w:rPr>
                <w:sz w:val="18"/>
                <w:szCs w:val="18"/>
                <w:color w:val="auto"/>
              </w:rPr>
            </w:pPr>
          </w:p>
        </w:tc>
      </w:tr>
      <w:tr>
        <w:trPr>
          <w:trHeight w:val="202"/>
        </w:trPr>
        <w:tc>
          <w:tcPr>
            <w:tcW w:w="7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expense, net</w:t>
            </w:r>
          </w:p>
        </w:tc>
        <w:tc>
          <w:tcPr>
            <w:tcW w:w="10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(76,306)</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(36,990)</w:t>
            </w:r>
          </w:p>
        </w:tc>
      </w:tr>
      <w:tr>
        <w:trPr>
          <w:trHeight w:val="203"/>
        </w:trPr>
        <w:tc>
          <w:tcPr>
            <w:tcW w:w="7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10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(1,854)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(74,452)</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(38,538)</w:t>
            </w:r>
          </w:p>
        </w:tc>
      </w:tr>
      <w:tr>
        <w:trPr>
          <w:trHeight w:val="197"/>
        </w:trPr>
        <w:tc>
          <w:tcPr>
            <w:tcW w:w="714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8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to compute net loss per share</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28,055,746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28,768,492</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28,055,746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28,768,492</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(74,452)</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(38,538)</w:t>
            </w:r>
          </w:p>
        </w:tc>
      </w:tr>
      <w:tr>
        <w:trPr>
          <w:trHeight w:val="203"/>
        </w:trPr>
        <w:tc>
          <w:tcPr>
            <w:tcW w:w="7140" w:type="dxa"/>
            <w:vAlign w:val="bottom"/>
            <w:shd w:val="clear" w:color="auto" w:fill="CFF0FC"/>
          </w:tcPr>
          <w:p>
            <w:pPr>
              <w:ind w:left="140"/>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10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(440)</w:t>
            </w:r>
          </w:p>
        </w:tc>
      </w:tr>
      <w:tr>
        <w:trPr>
          <w:trHeight w:val="20"/>
        </w:trPr>
        <w:tc>
          <w:tcPr>
            <w:tcW w:w="7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1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(74,998)</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(38,978)</w:t>
            </w:r>
          </w:p>
        </w:tc>
      </w:tr>
      <w:tr>
        <w:trPr>
          <w:trHeight w:val="20"/>
        </w:trPr>
        <w:tc>
          <w:tcPr>
            <w:tcW w:w="7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-4619625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-4062730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-3496945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-2382520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-1550670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-1533525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-162560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400" w:type="dxa"/>
            <w:vAlign w:val="bottom"/>
          </w:tcPr>
          <w:p>
            <w:pPr>
              <w:spacing w:after="0"/>
              <w:rPr>
                <w:sz w:val="11"/>
                <w:szCs w:val="11"/>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211"/>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4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291"/>
              <w:spacing w:after="0" w:line="122" w:lineRule="exact"/>
              <w:rPr>
                <w:sz w:val="20"/>
                <w:szCs w:val="20"/>
                <w:color w:val="auto"/>
              </w:rPr>
            </w:pPr>
            <w:r>
              <w:rPr>
                <w:rFonts w:ascii="Times New Roman" w:cs="Times New Roman" w:eastAsia="Times New Roman" w:hAnsi="Times New Roman"/>
                <w:sz w:val="11"/>
                <w:szCs w:val="11"/>
                <w:b w:val="1"/>
                <w:bCs w:val="1"/>
                <w:color w:val="auto"/>
              </w:rPr>
              <w:t>paid in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right"/>
              <w:ind w:right="500"/>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4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5"/>
              </w:rPr>
              <w:t>Accumulated deficit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4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0" w:type="dxa"/>
            <w:vAlign w:val="bottom"/>
          </w:tcPr>
          <w:p>
            <w:pPr>
              <w:spacing w:after="0"/>
              <w:rPr>
                <w:sz w:val="1"/>
                <w:szCs w:val="1"/>
                <w:color w:val="auto"/>
              </w:rPr>
            </w:pPr>
          </w:p>
        </w:tc>
      </w:tr>
      <w:tr>
        <w:trPr>
          <w:trHeight w:val="117"/>
        </w:trPr>
        <w:tc>
          <w:tcPr>
            <w:tcW w:w="2400" w:type="dxa"/>
            <w:vAlign w:val="bottom"/>
            <w:tcBorders>
              <w:bottom w:val="single" w:sz="8" w:color="CFF0FC"/>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4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27,835</w:t>
            </w:r>
          </w:p>
        </w:tc>
        <w:tc>
          <w:tcPr>
            <w:tcW w:w="140" w:type="dxa"/>
            <w:vAlign w:val="bottom"/>
            <w:shd w:val="clear" w:color="auto" w:fill="CFF0FC"/>
          </w:tcPr>
          <w:p>
            <w:pPr>
              <w:spacing w:after="0"/>
              <w:rPr>
                <w:sz w:val="9"/>
                <w:szCs w:val="9"/>
                <w:color w:val="auto"/>
              </w:rPr>
            </w:pPr>
          </w:p>
        </w:tc>
        <w:tc>
          <w:tcPr>
            <w:tcW w:w="320" w:type="dxa"/>
            <w:vAlign w:val="bottom"/>
            <w:gridSpan w:val="2"/>
            <w:vMerge w:val="restart"/>
            <w:shd w:val="clear" w:color="auto" w:fill="CFF0FC"/>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152,768</w:t>
            </w:r>
          </w:p>
        </w:tc>
        <w:tc>
          <w:tcPr>
            <w:tcW w:w="40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(5,624)</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(84,403)</w:t>
            </w:r>
          </w:p>
        </w:tc>
        <w:tc>
          <w:tcPr>
            <w:tcW w:w="260" w:type="dxa"/>
            <w:vAlign w:val="bottom"/>
            <w:gridSpan w:val="2"/>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(1,615)</w:t>
            </w:r>
          </w:p>
        </w:tc>
        <w:tc>
          <w:tcPr>
            <w:tcW w:w="140" w:type="dxa"/>
            <w:vAlign w:val="bottom"/>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61,129</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9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gridSpan w:val="2"/>
            <w:vMerge w:val="continue"/>
            <w:shd w:val="clear" w:color="auto" w:fill="CFF0FC"/>
          </w:tcPr>
          <w:p>
            <w:pPr>
              <w:spacing w:after="0"/>
              <w:rPr>
                <w:sz w:val="15"/>
                <w:szCs w:val="15"/>
                <w:color w:val="auto"/>
              </w:rPr>
            </w:pPr>
          </w:p>
        </w:tc>
        <w:tc>
          <w:tcPr>
            <w:tcW w:w="720" w:type="dxa"/>
            <w:vAlign w:val="bottom"/>
            <w:vMerge w:val="continue"/>
            <w:shd w:val="clear" w:color="auto" w:fill="CFF0FC"/>
          </w:tcPr>
          <w:p>
            <w:pPr>
              <w:spacing w:after="0"/>
              <w:rPr>
                <w:sz w:val="15"/>
                <w:szCs w:val="15"/>
                <w:color w:val="auto"/>
              </w:rPr>
            </w:pPr>
          </w:p>
        </w:tc>
        <w:tc>
          <w:tcPr>
            <w:tcW w:w="400" w:type="dxa"/>
            <w:vAlign w:val="bottom"/>
            <w:gridSpan w:val="2"/>
            <w:vMerge w:val="continue"/>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400" w:type="dxa"/>
            <w:vAlign w:val="bottom"/>
            <w:gridSpan w:val="2"/>
            <w:vMerge w:val="continue"/>
            <w:shd w:val="clear" w:color="auto" w:fill="CFF0FC"/>
          </w:tcPr>
          <w:p>
            <w:pPr>
              <w:spacing w:after="0"/>
              <w:rPr>
                <w:sz w:val="15"/>
                <w:szCs w:val="15"/>
                <w:color w:val="auto"/>
              </w:rPr>
            </w:pPr>
          </w:p>
        </w:tc>
        <w:tc>
          <w:tcPr>
            <w:tcW w:w="1020" w:type="dxa"/>
            <w:vAlign w:val="bottom"/>
            <w:gridSpan w:val="2"/>
            <w:vMerge w:val="continue"/>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140" w:type="dxa"/>
            <w:vAlign w:val="bottom"/>
            <w:gridSpan w:val="2"/>
            <w:vMerge w:val="continue"/>
            <w:shd w:val="clear" w:color="auto" w:fill="CFF0FC"/>
          </w:tcPr>
          <w:p>
            <w:pPr>
              <w:spacing w:after="0"/>
              <w:rPr>
                <w:sz w:val="15"/>
                <w:szCs w:val="15"/>
                <w:color w:val="auto"/>
              </w:rPr>
            </w:pPr>
          </w:p>
        </w:tc>
        <w:tc>
          <w:tcPr>
            <w:tcW w:w="260" w:type="dxa"/>
            <w:vAlign w:val="bottom"/>
            <w:gridSpan w:val="2"/>
            <w:vMerge w:val="continue"/>
            <w:shd w:val="clear" w:color="auto" w:fill="CFF0FC"/>
          </w:tcPr>
          <w:p>
            <w:pPr>
              <w:spacing w:after="0"/>
              <w:rPr>
                <w:sz w:val="15"/>
                <w:szCs w:val="15"/>
                <w:color w:val="auto"/>
              </w:rPr>
            </w:pPr>
          </w:p>
        </w:tc>
        <w:tc>
          <w:tcPr>
            <w:tcW w:w="126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10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(74,452)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(74,452)</w:t>
            </w:r>
          </w:p>
        </w:tc>
        <w:tc>
          <w:tcPr>
            <w:tcW w:w="0" w:type="dxa"/>
            <w:vAlign w:val="bottom"/>
          </w:tcPr>
          <w:p>
            <w:pPr>
              <w:spacing w:after="0"/>
              <w:rPr>
                <w:sz w:val="1"/>
                <w:szCs w:val="1"/>
                <w:color w:val="auto"/>
              </w:rPr>
            </w:pPr>
          </w:p>
        </w:tc>
      </w:tr>
      <w:tr>
        <w:trPr>
          <w:trHeight w:val="149"/>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9,824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ESPP</w:t>
            </w: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vested shares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Treasury shares withheld for net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settlement</w:t>
            </w: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20"/>
        </w:trPr>
        <w:tc>
          <w:tcPr>
            <w:tcW w:w="24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28,612</w:t>
            </w:r>
          </w:p>
        </w:tc>
        <w:tc>
          <w:tcPr>
            <w:tcW w:w="140" w:type="dxa"/>
            <w:vAlign w:val="bottom"/>
          </w:tcPr>
          <w:p>
            <w:pPr>
              <w:spacing w:after="0"/>
              <w:rPr>
                <w:sz w:val="12"/>
                <w:szCs w:val="12"/>
                <w:color w:val="auto"/>
              </w:rPr>
            </w:pPr>
          </w:p>
        </w:tc>
        <w:tc>
          <w:tcPr>
            <w:tcW w:w="320" w:type="dxa"/>
            <w:vAlign w:val="bottom"/>
            <w:gridSpan w:val="2"/>
          </w:tcPr>
          <w:p>
            <w:pPr>
              <w:jc w:val="right"/>
              <w:ind w:right="10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4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163,441</w:t>
            </w:r>
          </w:p>
        </w:tc>
        <w:tc>
          <w:tcPr>
            <w:tcW w:w="4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(5,665)</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(158,855)</w:t>
            </w:r>
          </w:p>
        </w:tc>
        <w:tc>
          <w:tcPr>
            <w:tcW w:w="260" w:type="dxa"/>
            <w:vAlign w:val="bottom"/>
            <w:gridSpan w:val="2"/>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(2,161)</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(3,237)</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(38,538)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(38,538)</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vested shares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Treasury shares withheld for net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settlement</w:t>
            </w: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142"/>
        </w:trPr>
        <w:tc>
          <w:tcPr>
            <w:tcW w:w="24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28,943</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169,796</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(5,753)</w:t>
            </w:r>
          </w:p>
        </w:tc>
        <w:tc>
          <w:tcPr>
            <w:tcW w:w="2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(197,393)</w:t>
            </w:r>
          </w:p>
        </w:tc>
        <w:tc>
          <w:tcPr>
            <w:tcW w:w="14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(2,601)</w:t>
            </w:r>
          </w:p>
        </w:tc>
        <w:tc>
          <w:tcPr>
            <w:tcW w:w="24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(35,948)</w:t>
            </w:r>
          </w:p>
        </w:tc>
        <w:tc>
          <w:tcPr>
            <w:tcW w:w="120" w:type="dxa"/>
            <w:vAlign w:val="bottom"/>
            <w:tcBorders>
              <w:top w:val="single" w:sz="8" w:color="CFF0FC"/>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-1739265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-1739265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-1739265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-1739265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-1739265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-1739265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-796290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-796290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-796290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-796290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-796290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-796290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-128270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-128270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-128270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-128270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-128270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-128270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ind w:left="3820"/>
        <w:spacing w:after="0"/>
        <w:rPr>
          <w:sz w:val="20"/>
          <w:szCs w:val="20"/>
          <w:color w:val="auto"/>
        </w:rPr>
      </w:pPr>
      <w:r>
        <w:rPr>
          <w:rFonts w:ascii="Times New Roman" w:cs="Times New Roman" w:eastAsia="Times New Roman" w:hAnsi="Times New Roman"/>
          <w:sz w:val="18"/>
          <w:szCs w:val="18"/>
          <w:b w:val="1"/>
          <w:bCs w:val="1"/>
          <w:color w:val="auto"/>
        </w:rPr>
        <w:t>-3CAMBIUM NETWORKS CORPORATION</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142"/>
        </w:trPr>
        <w:tc>
          <w:tcPr>
            <w:tcW w:w="7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(74,452)</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(38,538)</w:t>
            </w: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software and intangible assets</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6,355</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Provision for inventory excess and obsolescence</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estimated credit losses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goodwill</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customer relationship intangible</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software</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right-of-use operating lease assets</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Receivables</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(6,033)</w:t>
            </w: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12,819</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9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(7,227)</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4,098</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Income taxes receivable</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(1,155)</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(1,427)</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employee compensation</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(967)</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(992)</w:t>
            </w:r>
          </w:p>
        </w:tc>
      </w:tr>
      <w:tr>
        <w:trPr>
          <w:trHeight w:val="203"/>
        </w:trPr>
        <w:tc>
          <w:tcPr>
            <w:tcW w:w="7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liabilities</w:t>
            </w:r>
          </w:p>
        </w:tc>
        <w:tc>
          <w:tcPr>
            <w:tcW w:w="9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(1,320)</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(10,602)</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(12,109)</w:t>
            </w:r>
          </w:p>
        </w:tc>
      </w:tr>
      <w:tr>
        <w:trPr>
          <w:trHeight w:val="20"/>
        </w:trPr>
        <w:tc>
          <w:tcPr>
            <w:tcW w:w="75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(14,975)</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(15,706)</w:t>
            </w: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6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(6,401)</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(440)</w:t>
            </w: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software</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(5,497)</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(5,925)</w:t>
            </w:r>
          </w:p>
        </w:tc>
      </w:tr>
      <w:tr>
        <w:trPr>
          <w:trHeight w:val="196"/>
        </w:trPr>
        <w:tc>
          <w:tcPr>
            <w:tcW w:w="75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 on revolver</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term loan</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(2,625)</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(1,312)</w:t>
            </w: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ordinary shares under ESPP</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Taxes paid from shares withheld</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r>
      <w:tr>
        <w:trPr>
          <w:trHeight w:val="196"/>
        </w:trPr>
        <w:tc>
          <w:tcPr>
            <w:tcW w:w="75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43,183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9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r>
      <w:tr>
        <w:trPr>
          <w:trHeight w:val="20"/>
        </w:trPr>
        <w:tc>
          <w:tcPr>
            <w:tcW w:w="75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9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(23,594)</w:t>
            </w:r>
          </w:p>
        </w:tc>
      </w:tr>
      <w:tr>
        <w:trPr>
          <w:trHeight w:val="203"/>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9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18,710</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9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34,925</w:t>
            </w:r>
          </w:p>
        </w:tc>
        <w:tc>
          <w:tcPr>
            <w:tcW w:w="220" w:type="dxa"/>
            <w:vAlign w:val="bottom"/>
          </w:tcPr>
          <w:p>
            <w:pPr>
              <w:spacing w:after="0"/>
              <w:rPr>
                <w:sz w:val="17"/>
                <w:szCs w:val="17"/>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10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7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paid, net of refunds received</w:t>
            </w:r>
          </w:p>
        </w:tc>
        <w:tc>
          <w:tcPr>
            <w:tcW w:w="9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(713)</w:t>
            </w: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96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5,101</w:t>
            </w:r>
          </w:p>
        </w:tc>
        <w:tc>
          <w:tcPr>
            <w:tcW w:w="2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100" w:type="dxa"/>
            <w:vAlign w:val="bottom"/>
            <w:shd w:val="clear" w:color="auto" w:fill="CFF0FC"/>
          </w:tcPr>
          <w:p>
            <w:pPr>
              <w:spacing w:after="0"/>
              <w:rPr>
                <w:sz w:val="17"/>
                <w:szCs w:val="17"/>
                <w:color w:val="auto"/>
              </w:rPr>
            </w:pPr>
          </w:p>
        </w:tc>
      </w:tr>
      <w:tr>
        <w:trPr>
          <w:trHeight w:val="294"/>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 in property, equipment and software unpaid or accrued in liabilities</w:t>
            </w:r>
          </w:p>
        </w:tc>
        <w:tc>
          <w:tcPr>
            <w:tcW w:w="96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(1,744)</w:t>
            </w:r>
          </w:p>
        </w:tc>
        <w:tc>
          <w:tcPr>
            <w:tcW w:w="8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9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2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8"/>
                <w:szCs w:val="18"/>
                <w:color w:val="auto"/>
              </w:rPr>
            </w:pPr>
          </w:p>
        </w:tc>
      </w:tr>
      <w:tr>
        <w:trPr>
          <w:trHeight w:val="87"/>
        </w:trPr>
        <w:tc>
          <w:tcPr>
            <w:tcW w:w="7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Reconciliation of Cash and restricted cash at end of period:</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9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34,925</w:t>
            </w:r>
          </w:p>
        </w:tc>
        <w:tc>
          <w:tcPr>
            <w:tcW w:w="220" w:type="dxa"/>
            <w:vAlign w:val="bottom"/>
          </w:tcPr>
          <w:p>
            <w:pPr>
              <w:spacing w:after="0"/>
              <w:rPr>
                <w:sz w:val="17"/>
                <w:szCs w:val="17"/>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11,056</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9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cash and restricted cash</w:t>
            </w:r>
          </w:p>
        </w:tc>
        <w:tc>
          <w:tcPr>
            <w:tcW w:w="9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34,925</w:t>
            </w:r>
          </w:p>
        </w:tc>
        <w:tc>
          <w:tcPr>
            <w:tcW w:w="220" w:type="dxa"/>
            <w:vAlign w:val="bottom"/>
          </w:tcPr>
          <w:p>
            <w:pPr>
              <w:spacing w:after="0"/>
              <w:rPr>
                <w:sz w:val="17"/>
                <w:szCs w:val="17"/>
                <w:color w:val="auto"/>
              </w:rPr>
            </w:pPr>
          </w:p>
        </w:tc>
        <w:tc>
          <w:tcPr>
            <w:tcW w:w="8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10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-3522345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-3003550</wp:posOffset>
            </wp:positionV>
            <wp:extent cx="9398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-3003550</wp:posOffset>
            </wp:positionV>
            <wp:extent cx="9398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-2214880</wp:posOffset>
            </wp:positionV>
            <wp:extent cx="939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-2214880</wp:posOffset>
            </wp:positionV>
            <wp:extent cx="9398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-1927860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-1662430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-161925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1093"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type w:val="continuous"/>
        </w:sectPr>
      </w:pPr>
    </w:p>
    <w:bookmarkStart w:id="95" w:name="page96"/>
    <w:bookmarkEnd w:id="95"/>
    <w:p>
      <w:pPr>
        <w:ind w:left="3900"/>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50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1. Description of Business and Summary of Significant Accounting Policies </w:t>
      </w:r>
      <w:r>
        <w:rPr>
          <w:rFonts w:ascii="Times New Roman" w:cs="Times New Roman" w:eastAsia="Times New Roman" w:hAnsi="Times New Roman"/>
          <w:sz w:val="18"/>
          <w:szCs w:val="18"/>
          <w:i w:val="1"/>
          <w:iCs w:val="1"/>
          <w:color w:val="auto"/>
        </w:rPr>
        <w:t>Business</w:t>
      </w:r>
    </w:p>
    <w:p>
      <w:pPr>
        <w:ind w:firstLine="509"/>
        <w:spacing w:after="0" w:line="258" w:lineRule="auto"/>
        <w:rPr>
          <w:sz w:val="20"/>
          <w:szCs w:val="20"/>
          <w:color w:val="auto"/>
        </w:rPr>
      </w:pPr>
      <w:r>
        <w:rPr>
          <w:rFonts w:ascii="Times New Roman" w:cs="Times New Roman" w:eastAsia="Times New Roman" w:hAnsi="Times New Roman"/>
          <w:sz w:val="18"/>
          <w:szCs w:val="18"/>
          <w:color w:val="auto"/>
        </w:rPr>
        <w:t>Cambium Networks Corporation (“Cambium” or “Cambium Networks” or the “Company”), incorporated under the laws of the Cayman Islands, is a holding company whose principal operating entities are Cambium Networks, Ltd. (UK), Cambium Networks, Inc. (USA), and Cambium Networks Private Limited (India). On June 26, 2019, the Company completed an Initial Public Offering and the Company's ordinary shares began trading on the Nasdaq Global Market. Trading in the Company's ordinary shares was suspended at the open of trading on March 27, 2026. Trading in the Company's ordinary shares under the symbol "CMBMF" on the OTC Experts Market began on March 30, 2026.</w:t>
      </w:r>
    </w:p>
    <w:p>
      <w:pPr>
        <w:spacing w:after="0" w:line="7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Cambium Networks Corporation and its wholly owned subsidiaries design, develop, and manufacture fixed wireless and PON/XGSPON based broadband, Wi-Fi, and local area networking ("LAN") switching infrastructure, and security gateway solutions for a wide range of applications, including broadband access, wireless backhaul, Internet of Things (IoT), public safety communication and Wi-Fi access. Cambium's products enable service providers, enterprises, industrial organizations and governments to deliver exceptional digital experiences and device connectivity, with compelling economics. The Company's ONE network platform simplifies the management of Cambium Networks' wired and wireless technologies. The Company's product lines fall into three broad, interrelated categories: Fixed Wireless and fiber Broadband ("FWB"), Enterprise Networking, and Subscriptions and Services.</w:t>
      </w:r>
    </w:p>
    <w:p>
      <w:pPr>
        <w:spacing w:after="0" w:line="8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operates on a calendar year ending December 31. As such, all references to 2024 and 2025 contained within these notes relate to the calendar year, unless otherwise indicated.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and accompanying notes are prepared in accordance with accounting principles generally accepted in the United States of America (“GAAP”) and include the accounts of Cambium Networks Corporation and its wholly owned subsidiaries. All intercompany balances and transactions have been eliminated.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the accounting guidance related to the presentation of financial statements, when preparing financial statements for each annual and interim reporting period, management evaluates whether there are conditions or events that, when considered in the aggregate, raise substantial doubt about the Company’s ability to continue as a going concern within one year after the date that the financial statements are issued. In making its assessment, management considered the Company’s current financial condition and liquidity sources, including current funds available, forecasted future cash flows and conditional and unconditional obligations due over the next twelve months, as well as other factors including the markets in which the Company competes and the current customer demand for the Company’s products.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was not in compliance with its quarterly fixed charge coverage ratio and quarterly consolidated leverage ratio covenants. These defaults continue into 2026. Such defaults afford the lender the right to declare the amounts outstanding immediately due and payable, and although the Company continues regular discussions with the lender, it has not been able to obtain a waiver of the defaults, or otherwise refinance such indebtedness. If the lender were to accelerate the maturity of the Company's indebtedness under the Amended Credit Agreement, the Company would not be able to repay the debt, and therefore, there is substantial uncertainty the Company would be able to continue as a going concern. The Company’s obligations under the Amended Credit Agreement mature and become due and payable on November 17, 2026, absent acceleration by the lender. The Company ceased payment of principal and interest on the term loan and payment of interest under the revolving credit facility as of June, 2025.</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the covenant violations afford the lender the right to declare the amounts outstanding immediately due and payable, the term loan facility and the associated deferred debt issuance costs and the revolving credit facility are classified as a current liability and the deferred debt issuance costs associated with the revolving credit facility are classified as a current asset in the accompanying consolidated balance sheet as of December 31, 2025. Please refer to Note 6. Debt, regarding the Company’s debt outstanding under its credit facilities with Bank of America.</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continues to take actions to improve its profitability and focus on operating efficiency and reducing discretionary spending, deferring capital expenditures and implementing cost reductions to align its cost structure with current and expected revenue levels.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on the Company’s current forecast, it is projecting future noncompliance with its financial covenants for the remainder of the term of the loan in addition to the covenant noncompliance described above. If the lender were to accelerate the maturity of the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6" w:name="page97"/>
    <w:bookmarkEnd w:id="96"/>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Company's indebtedness under the Amended Credit Agreement, there is substantial uncertainty the Company would be able to secure capital resources to repay the amounts due. Due to these uncertainties and given the debt matures on November 17, 2026, management concluded that substantial doubt exists with respect to the Company's ability to continue as a going concern within one year after the date that these consolidated financial statements are issued.</w:t>
      </w:r>
    </w:p>
    <w:p>
      <w:pPr>
        <w:spacing w:after="0" w:line="5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Accounting Estimates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On an ongoing basis, the Company evaluates these estimates, including those related to the provision for excess and obsolete inventory, the carrying amount of estimated inventory returns, the estimated amount expected to be refunded to customers in respect of inventory returns and customer rebates, estimate of the allowance for credit losses, estimate associated with the measurement of asset values for impairment, fair value of equity awards granted to employees and the associated forfeiture rates, leases, provision for income taxes, and recoverability of deferred tax assets. The Company bases estimates on historical experience and on various other assumptions that are believed to be reasonable under the circumstances. Actual results could differ from those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11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Management has determined that it operates as one operating segment as it only reports financial information on an aggregated and consolidated basis to its Chief Executive Officer, who is the Company’s chief operating decision maker ("CODM"). Decisions about resource allocation or operating performance assessments are not made below a total company level.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revenues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Revenues consist primarily of revenues from the sale of hardware products. Revenues also include amounts for software products, extended warranty on hardware products and software subscription services. Substantially all products are sold through distributors and other channel partners, such as resellers and systems integrators.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revenue to reflect the transfer of control of promised products or services to a customer in an amount that reflects the consideration to which the Company expects to be entitled in exchange for products or services.</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 The Company considers orders placed by its customers, which in most cases are governed by master distributor agreements, or customer purchase orders to be the contracts with the customer.</w:t>
      </w:r>
    </w:p>
    <w:p>
      <w:pPr>
        <w:spacing w:after="0" w:line="68"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For each contract, the Company identifies its distinct performance obligations under each contract. A performance obligation is a promise in a contract to transfer a distinct product or service to the customer. Hardware products with essential embedded software, software products, extended warranty on hardware products and software subscriptions have been identified as separate performance obligations.</w:t>
      </w:r>
    </w:p>
    <w:p>
      <w:pPr>
        <w:spacing w:after="0" w:line="6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shipping and handling costs as fulfillment costs which are recorded in Cost of product revenues in the consolidated statement of operations. This includes shipping and handling costs incurred after control has transferred to the customer as the Company has elected the practical expedient in ASC Topic 606.</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when control of a promised product or service transfers to a customer. Revenue from hardware products with embedded software is typically recognized at the time of shipment, which is when the customer has the ability to direct the use of and obtain substantially all of the remaining benefit from the asset. Software revenue consists of perpetual license software and is recognized at the point in time the customer obtains control of the software and is able to use or benefit from the software. Extended warranty is available for purchase on hardware products and is a performance obligation that is satisfied over time, beginning on the effective date of the warranty term and ending on the expiration of the warranty term. The Company recognizes revenue on extended warranties on a straight-line basis over the warranty period. Revenue from subscription services is recognized ratably over the term in which the services are provided and our performance obligation is satisfied.</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products or services to a customer. The Company allocates the transaction price to each performance obligation on a relative standalone selling price basis for each distinct product or service in the contract. The best evidence of standalone selling price is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7" w:name="page98"/>
    <w:bookmarkEnd w:id="97"/>
    <w:p>
      <w:pPr>
        <w:ind w:right="40"/>
        <w:spacing w:after="0" w:line="266" w:lineRule="auto"/>
        <w:rPr>
          <w:sz w:val="20"/>
          <w:szCs w:val="20"/>
          <w:color w:val="auto"/>
        </w:rPr>
      </w:pPr>
      <w:r>
        <w:rPr>
          <w:rFonts w:ascii="Times New Roman" w:cs="Times New Roman" w:eastAsia="Times New Roman" w:hAnsi="Times New Roman"/>
          <w:sz w:val="18"/>
          <w:szCs w:val="18"/>
          <w:color w:val="auto"/>
        </w:rPr>
        <w:t>observable price of a product or service when the Company sells that product or service separately in similar circumstances and to similar customers. If a standalone selling price is not directly observable, the Company estimates the transaction price allocated to each performance obligation using the expected costs plus a margin approach.</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determining the transaction price, stock rotation rights and customer incentives are considered to be forms of variable consideration. Stock rotation rights grant the distributor the ability to return certain specified amounts of inventory and meets the definition of a right of return. Certain criteria must be met to rotate stock and the customer is also required to place an additional order. The Company estimates variable consideration for stock rotations using the value of inventory being held by its distributors ("channel inventory"), historical returns experience and a qualitative adjustment to consider fluctuations in ending channel inventory balance and actual returns being process in both historical and subsequent periods. The Company records a reduction to revenue at the selling price of the products expected to be returned and a liability for the estimated amount expected to be refunded to the customer as well as a reduction to costs of revenues and an asset at the cost of the estimated inventory to be returned. The Company also provides customer incentives in the form of rebates. The Company estimates variable consideration for rebates using the expected value method. The estimate incorporates all reasonably available information, including historical rebate experience, current channel inventory levels, macroeconomic indicators and observable changes in customer demand.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cash balances at financial institutions that at times exceed federally insured limits. The Company has not experienced any losses on such accounts and believes it is not exposed to any significant credit risk on cash. Our cash consists primarily of U.S. dollar denominated demand accounts. Beginning in 2025, the Company has restricted cash for amounts used as collateral against the Company's purchasing card.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and concentration of credit risk</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Trade accounts receivable are recorded at invoiced amounts, net of the allowance for credit losses. The Company considers the credit risk of all customers and regularly monitors credit risk exposure in its trade receivables. The Company’s standard credit terms with their customers are generally net 30 to 60 days. The Company had one customer representing more than 10% of trade receivables at December 31, 2024 and at December 31, 2025. The Company had two customers representing more than 10% of revenues for the years ended December 31, 2024 and December 31, 2025.</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establishes an allowance for credit losses to present the net amount of accounts receivable expected to be collected. The allowance is determined by using the loss-rate method, which requires an estimation of loss rates based on historical loss experience adjusted for factors that are relevant to determining the expected collectability of accounts receivable. Some of these factors include macroeconomic conditions that correlate with historical loss experience, delinquency trends, aging behavior of receivables, and credit and liquidity indicators for individual customers.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inventories are primarily finished goods for resale and, to a lesser extent, raw materials. Inventories are stated at the lower of cost or net realizable value. In determining the cost of raw materials, consumables and goods purchased for resale, the average purchase price is used. For finished goods, cost is computed as production cost including capitalized inbound freight costs.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valuation of inventory also requires the Company to estimate excess or obsolete inventory. The determination of excess or obsolete inventory is based on a comparison of the quantity and cost of inventory on hand versus the Company's forecast of remaining lifetime demand, consideration of historical sales or usage and management's judgment. The Company also considers the rate at which new products will be accepted in the marketplace and how quickly customers will transition from older products to newer products. Any adjustments to the valuation of inventory are included in cost of revenues.</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also records a liability for firm, noncancelable, and unconditional purchase commitments with contract manufacturers and suppliers for quantities in excess of its future demand forecasts consistent with the valuation of its excess and obsolete inventory. Any adjustments to recognize a loss on supplier commitments are included in cost of revenues.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impairment charges. The Company calculates depreciation expense using the straight-line method over the estimated useful lives of each asset based on its asset class. Leasehold improvements are amortized over the shorter of their useful lives or the lease term. See Note 3. Property and equipment for the useful lives for each asset class.</w:t>
      </w:r>
    </w:p>
    <w:p>
      <w:pPr>
        <w:spacing w:after="0" w:line="68"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Upon retirement or disposition, the asset cost and related accumulated depreciation are removed with any gain or loss recognized in operating expense in the consolidated statements of operations. For the years ended 2024 and 2025, the loss recognized was immaterial for any retirements or dispositions.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Software may be purchased or developed internally for internal use. Costs are expensed as incurred during the preliminary project stage of an internal use software project and are capitalized once the project has been approved by management and is in the application development stage. Post implementation/operation costs, such as maintenance and training costs, are expensed as incurred. Any costs incurred to provide upgrades or enhancements are capitalized only if they provide additional functionality that did not previously exist.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Amortization of internal use software begins when the software is ready for internal use and is amortized over its estimated useful life. The amortization expense for internal use software is computed using the straight-line method over three to seven years.</w:t>
      </w:r>
    </w:p>
    <w:p>
      <w:pPr>
        <w:spacing w:after="0" w:line="54"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Software may also be developed internally for external sale. Costs related to certain software available for sale are capitalized when the resulting product reaches technological feasibility. The Company generally determines technological feasibility when it has a detailed program design that takes product function, feature and technical requirements to their most detailed, logical form and the product is ready for coding. The Company does not typically capitalize costs related to the development of first-generation product offerings as technological feasibility generally coincides with general availability of the software.</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Amortization of software costs to be sold or marketed externally begins when the product is available for sale to customers and is amortized using the straight-line method over its estimated useful life of three years.</w:t>
      </w:r>
    </w:p>
    <w:p>
      <w:pPr>
        <w:spacing w:after="0" w:line="54"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For capitalized software costs related to software available for sale, the Company completes an impairment analysis at each reporting date comparing the net realizable value of any product to its net book value. See Note 4. Software for further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internal-use software, right-of-use assets, and definite-lived intangible assets for impairment by completing a quarterly qualitative assessment and whenever events or changes in circumstances indicate that the carrying value of these assets may not be recoverable. An impairment loss is recognized when the net book value of such assets exceeds the estimated future undiscounted cash flows attributable to the assets or asset group. If impairment is indicated, the asset is written down to its estimated fair value. See Notes 3. Property and equipment, Note 4. Software and Note 5. Goodwill and intangible assets and Note 15. Leases for further details.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Goodwill represents the excess purchase price over the estimated fair value of net assets acquired in a business combination. Goodwill is measured at cost and is not amortized. Intangible assets acquired, either individually or with a group of assets, are initially recognized and measured at fair value. The Company uses third-party specialists to assist management to determine fair values and estimated useful lives for intangible assets acquired in business combinations. Intangible assets with finite useful lives are amortized on a straight-line basis over their estimated useful lives of between 3 and 18 years. The Company has no intangible assets with indefinite lives.</w:t>
      </w:r>
    </w:p>
    <w:p>
      <w:pPr>
        <w:spacing w:after="0" w:line="7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assesses goodwill for impairment at least annually on December 31 and whenever events or circumstances that would more likely than not, reduce the fair value below its carrying value.</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Annual impairment testing is completed at the reporting unit level. Management has concluded the Company operates as one reporting unit and one operating segment for annual impairment testing.</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completing its impairment evaluations, the Company first assesses qualitative factors to determine whether it is more likely than not that the fair value of a reporting unit is less than its carrying amount, including goodwill. In performing this qualitative assessment, the Company assesses relevant events and changes in circumstances, including industry and market conditions, operating results, business plans, and entity-specific events that would affect the fair value or the carrying amount of a reporting unit. If it is more likely than not that the fair value of a reporting unit is less than its carrying value, the Company determines the fair value of the reporting unit and compares the fair value to its carrying value. If the fair value of the reporting unit exceeds its carrying amount, goodwill of the reporting unit is not considered impaired and no further steps are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has both cancelable and noncancelable operating leases for office space, vehicles, and office equipment. The Company records a right-of-use asset and lease liability on its consolidated balance sheet for all leases that qualify. The operating lease liability represents the present value of the future minimum lease payments over the lease term using either the rate implicit in the lease or the Company’s incremental borrowing rate at the lease commencement date. The right-of-use asset reflects adjustments for the derecognition of deferred rent and prepaid rent. Leases with an initial term of 12 months or less are not recorded on the Company’s consolidated balance sheet, and are expensed on a straight-line basis over the lease term. The Company does not include any renewal periods in the lease term for its leases as sufficient economic factors do not exist that would compel it to continue to use the underlying asset beyond the initial non-cancelable term. The Company has elected to combine the lease and non-lease components into a single lease component for all of its leases. See Note 15. Leases for further details.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provides a standard warranty on its products, with the term depending on the product, and records a liability for the estimated future costs associated with potential warranty claims. Provisions for warranty claims are recorded at the time products are sold based on historical experience factors including product failure rates, material usage, and service delivery cost incurred in correcting product failures. These provisions are reviewed and adjusted by management periodically to reflect actual and anticipated experience. The warranty costs are reflected in the Company’s consolidated statements of operations within cost of revenues. In certain circumstances, the Company may have recourse from its contract manufacturers for replacement cost of defective products, which it also factors into its warranty liability assessment.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its financial statements. Under this method, deferred tax assets and liabilities are determined on the basis of the differences between the financial statement carrying amount and the tax basis of assets and liabilities using enacted income tax rates in effect for the year in which the differences are expected to be recovered or settled. The effect of a change in income tax rates on deferred tax assets and liabilities is recognized in the income tax provision in the period that includes the enactment date.</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of the deferred tax assets will not be realized and adjusts the valuation allowances accordingly. In making such a determination, the Company considers all available positive and negative evidence, including future reversals of existing taxable temporary differences, projected future taxable income, tax-planning strategies, and results of recent operations.</w:t>
      </w:r>
    </w:p>
    <w:p>
      <w:pPr>
        <w:spacing w:after="0" w:line="72"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As of December 31, 2024, conditions existed that raised substantial doubt about the Company's ability to continue as a going concern within one year after the date the financial statements are issued. As a result, the Company no longer asserts indefinite reinvestment with respect to earnings of foreign subsidiaries. Accordingly, the Company recorded a deferred tax liability for the outside basis difference of its foreign affiliates and estimated future tax consequences associated with the potential sale of its foreign investments, including applicable foreign withholding taxes and other incremental taxes. As of December 31, 2025, the Company maintains its position that it does not assert indefinite reinvestment on its undistributed earnings of its foreign subsidiaries. As a result, the Company increased the deferred tax liability for its outside basis difference of its foreign subsidiaries. The actual tax costs may differ from the amounts recorded due to changes in tax laws, foreign exchange rates, and other factors, including the timing and manner of repatriation.</w:t>
      </w:r>
    </w:p>
    <w:p>
      <w:pPr>
        <w:spacing w:after="0" w:line="6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may be subject to income tax audits in all of the jurisdictions in which it operates and, as a result, must also assess exposures to any potential issues arising from current or future audits of current and prior years’ tax returns. Accordingly, the Company must assess such potential exposures and, where necessary, provide for any expected loss. The Company would recognize the benefit of a tax position if it is more likely than not to be sustained. Recognized tax positions are measured at the largest amount more likely than not to be realized upon settlement. To the extent that the Company establishes a liability, its income tax expense would be increased. If the Company ultimately determines that payment of these amounts is unnecessary, it would reverse the liability and recognize an income tax benefit during the period in which new information becomes available indicating that the liability is no longer necessary. The Company would record an additional income tax expense in the period in which new information becomes available indicating that the income tax liability is greater than its original estimate. The Company did not record such an adjustment for the years ended December 31, 2024 or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share-based compensation by measuring and recognizing compensation expense for all share-based payments based on estimated grant date fair values for equity settled awards. The Company's policy is to recognize compensation expense on a straight-line basis over the requisite service period of the award, adjusted for an estimate of expected forfeitures.</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Awards are granted under the 2019 Share Incentive Plan. The 2019 Share Incentive Plan provides for the grant of incentive share options, nonqualified share options, share appreciation rights, restricted share awards, restricted share units, or other share-based awards and performance awards.</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also issues shares under its Employee Share Purchase Plan ("ESPP"). The first offering period or purchase period under the ESPP began on January 1, 2021. The Company offers two offering periods of six months each per year. Under the ESPP, the purchase price of the Company's shares is 85% of the lower of the fair market value of the shares on the first trading date of each offering period or on the purchase date. Effective January 1, 2025, management has temporarily suspended the ESPP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all pending or threatened contingencies and any commitments, if any, that are reasonably likely to have a material adverse effect on its results of operations, financial position or cash flows. 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reporting currency of the Company is the U.S. dollar and the functional currency for each operating subsidiary is the local currency of the operating subsidiary other than for Cambium Networks, Ltd. (UK) for which the functional currency is the U.S. dollar. Local currency denominated monetary assets and liabilities are translated at exchange rates in effect at the balance sheet date, and revenues, cost of revenues and expenses are translated at the average exchange rate in effect during the applicable period. The Company recognizes foreign exchange gains and losses in other expense on its consolidated statements of operations and accumulated other comprehensive income (loss) on its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salary and benefit expenses for employees and contractors engaged in research, design and development activities, and costs for prototypes, travel costs and shared facility and IT costs. The Company also incurs research and development costs associated with the development of software for both internal use and to be marketed externally. Research and development costs, other than those associated with the development of software that meet the criteria for capitalization, are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disclose standard categories in the tax rate reconciliation, additional information for reconciling items that meet a quantitative threshold and income taxes paid disaggregated by jurisdiction. ASU 2023-09 is effective for annual periods beginning after December 15, 2024. Adoption of this ASU should be applied prospectively, but may be applied retrospectively to all prior periods presented in the financial statements. The Company adopted this ASU on a prospective basis for the year ended December 31, 2025. Refer to Note 12. Income Taxes, which reflects the incremental income tax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Securities and Exchange Commission's ("SEC") Disclosure Update and Simplification Initiative. The amendments in this update require modification of certain disclosure and presentation requirements for a variety of ASU topics in response to the SEC's Release No. 33-10532. The effective date for each amended topic in the ASU is the date on which the SEC's removal of the related disclosure requirement from Regulation S-X or Regulation S-K becomes effective. However, if by June 30, 2027, the SEC has not removed the related disclosure from its regulations, the amendment will be removed from the Codification and not become effective. Early adoption is permitted. The Company is currently evaluating this ASU to determine its impact on the Company's disclosures.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2024-03, Income Statement-Reporting Comprehensive Income-Expense Disaggregation Disclosures (Subtopic 220-40) Disaggregation of Income Statement Expenses. The amendment requires disclosures of a) purchases of inventory, b) employee compensation, c) depreciation, d) intangible asset amortization and e) depreciation, depletion, and amortization recognized as part of oil-and gas-producing activities ("DD&amp;A") included in each relevant expense caption. The amendment also requires that certain amounts that are already required to be disclosed under generally accepted accounting principles ("GAAP") be included in the same disclosure as the other disaggregation requirements. The new guidance also requires a qualitative description of the amounts remaining in relevant expense captions that are not separately disaggregated quantitatively and disclosure of the total amount of selling expenses and, in annual reporting periods, an entity’s definition of selling expenses. The amendments are effective for fiscal years beginning after December 15, 2026, and for interim periods within fiscal years beginning after December 15, 2027, with early adoption permitted. Upon adoption, this guidance may be applied prospectively or retrospectively to all prior periods presented. The Company is currently evaluating this ASU to determine its impact on the Company's disclosures and expects the ASU will increase disclosures in the Company's annual and interim reporting when adopted.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Note 2. Balance sheet components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net</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arise from sales on credit to customers. The Company establishes an allowance for credit losses to present the net amount of accounts receivable expected to be collected. The estimate is determined by using the loss-rate method, which requires an estimation of loss rates based upon historical loss experience adjusted for factors that are relevant to determining the expected collectability of accounts receivables. Some of these factors include macroeconomic conditions that correlate with historical loss experience, delinquency trends, aging behavior of receivables and credit and liquidity indicators for individual customers.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Receivable, net are as follows (in thousands):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1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118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43,806</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43,676</w:t>
            </w:r>
          </w:p>
        </w:tc>
        <w:tc>
          <w:tcPr>
            <w:tcW w:w="80" w:type="dxa"/>
            <w:vAlign w:val="bottom"/>
            <w:shd w:val="clear" w:color="auto" w:fill="CFF0FC"/>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0"/>
        </w:trPr>
        <w:tc>
          <w:tcPr>
            <w:tcW w:w="1180" w:type="dxa"/>
            <w:vAlign w:val="bottom"/>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11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(3,402)</w:t>
            </w:r>
          </w:p>
        </w:tc>
      </w:tr>
      <w:tr>
        <w:trPr>
          <w:trHeight w:val="249"/>
        </w:trPr>
        <w:tc>
          <w:tcPr>
            <w:tcW w:w="1180" w:type="dxa"/>
            <w:vAlign w:val="bottom"/>
          </w:tcPr>
          <w:p>
            <w:pPr>
              <w:spacing w:after="0"/>
              <w:rPr>
                <w:sz w:val="21"/>
                <w:szCs w:val="21"/>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40,405</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41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Allowance for credit losses activity was as follows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11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11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1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r>
      <w:tr>
        <w:trPr>
          <w:trHeight w:val="209"/>
        </w:trPr>
        <w:tc>
          <w:tcPr>
            <w:tcW w:w="118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shd w:val="clear" w:color="auto" w:fill="CFF0FC"/>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Provision increase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8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Amounts written-off</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shd w:val="clear" w:color="auto" w:fill="CFF0FC"/>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-1739265</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-1739265</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-1448435</wp:posOffset>
            </wp:positionV>
            <wp:extent cx="51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-1430655</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-1448435</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-1430655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written-off include receivables that were deemed uncollectible and were previously reserved for.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11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Gross inventory</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Excess and obsolescence reserve</w:t>
            </w: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(29,430)</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-462280</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-462280</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the activity in the Company’s Inventory excess and obsolete provision (in thousands):</w:t>
      </w:r>
    </w:p>
    <w:p>
      <w:pPr>
        <w:spacing w:after="0" w:line="9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29,430</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written off</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(2,163)</w:t>
            </w: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excess and obsolete provision</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Inventory reserves are established for estimated excess and obsolete inventory equal to the difference between the cost of the inventory and the estimated net realizable value of the inventory based on historical usage, known trends, inventory age and market conditions and judgment about the consumption and our ability to sell the inventory.</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i w:val="1"/>
          <w:iCs w:val="1"/>
          <w:color w:val="auto"/>
        </w:rPr>
        <w:t>Other noncurrent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consisted of the following (in thousands):</w:t>
      </w:r>
    </w:p>
    <w:p>
      <w:pPr>
        <w:spacing w:after="0" w:line="166"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Supplier prepayments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19,422</w:t>
            </w:r>
          </w:p>
        </w:tc>
        <w:tc>
          <w:tcPr>
            <w:tcW w:w="6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Prepaid security deposit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60" w:type="dxa"/>
            <w:vAlign w:val="bottom"/>
          </w:tcPr>
          <w:p>
            <w:pPr>
              <w:spacing w:after="0"/>
              <w:rPr>
                <w:sz w:val="18"/>
                <w:szCs w:val="18"/>
                <w:color w:val="auto"/>
              </w:rPr>
            </w:pPr>
          </w:p>
        </w:tc>
      </w:tr>
      <w:tr>
        <w:trPr>
          <w:trHeight w:val="21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6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-170815</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supplier prepayments represent payments made to our component suppliers for goods to be received beyond one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1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538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goods and services</w:t>
            </w:r>
          </w:p>
        </w:tc>
        <w:tc>
          <w:tcPr>
            <w:tcW w:w="1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300" w:type="dxa"/>
            <w:vAlign w:val="bottom"/>
            <w:gridSpan w:val="2"/>
            <w:shd w:val="clear" w:color="auto" w:fill="CC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80" w:type="dxa"/>
            <w:vAlign w:val="bottom"/>
            <w:shd w:val="clear" w:color="auto" w:fill="CC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loss on supplier commitments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80" w:type="dxa"/>
            <w:vAlign w:val="bottom"/>
          </w:tcPr>
          <w:p>
            <w:pPr>
              <w:spacing w:after="0"/>
              <w:rPr>
                <w:sz w:val="18"/>
                <w:szCs w:val="18"/>
                <w:color w:val="auto"/>
              </w:rPr>
            </w:pPr>
          </w:p>
        </w:tc>
      </w:tr>
      <w:tr>
        <w:trPr>
          <w:trHeight w:val="216"/>
        </w:trPr>
        <w:tc>
          <w:tcPr>
            <w:tcW w:w="538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20" w:type="dxa"/>
            <w:vAlign w:val="bottom"/>
            <w:shd w:val="clear" w:color="auto" w:fill="CCF0FC"/>
          </w:tcPr>
          <w:p>
            <w:pPr>
              <w:spacing w:after="0"/>
              <w:rPr>
                <w:sz w:val="18"/>
                <w:szCs w:val="18"/>
                <w:color w:val="auto"/>
              </w:rPr>
            </w:pPr>
          </w:p>
        </w:tc>
        <w:tc>
          <w:tcPr>
            <w:tcW w:w="9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00" w:type="dxa"/>
            <w:vAlign w:val="bottom"/>
            <w:shd w:val="clear" w:color="auto" w:fill="CCF0FC"/>
          </w:tcPr>
          <w:p>
            <w:pPr>
              <w:spacing w:after="0"/>
              <w:rPr>
                <w:sz w:val="18"/>
                <w:szCs w:val="18"/>
                <w:color w:val="auto"/>
              </w:rPr>
            </w:pPr>
          </w:p>
        </w:tc>
        <w:tc>
          <w:tcPr>
            <w:tcW w:w="100" w:type="dxa"/>
            <w:vAlign w:val="bottom"/>
            <w:shd w:val="clear" w:color="auto" w:fill="CCF0FC"/>
          </w:tcPr>
          <w:p>
            <w:pPr>
              <w:spacing w:after="0"/>
              <w:rPr>
                <w:sz w:val="18"/>
                <w:szCs w:val="18"/>
                <w:color w:val="auto"/>
              </w:rPr>
            </w:pPr>
          </w:p>
        </w:tc>
        <w:tc>
          <w:tcPr>
            <w:tcW w:w="10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80" w:type="dxa"/>
            <w:vAlign w:val="bottom"/>
            <w:shd w:val="clear" w:color="auto" w:fill="CC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customer reserves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80" w:type="dxa"/>
            <w:vAlign w:val="bottom"/>
          </w:tcPr>
          <w:p>
            <w:pPr>
              <w:spacing w:after="0"/>
              <w:rPr>
                <w:sz w:val="18"/>
                <w:szCs w:val="18"/>
                <w:color w:val="auto"/>
              </w:rPr>
            </w:pPr>
          </w:p>
        </w:tc>
      </w:tr>
      <w:tr>
        <w:trPr>
          <w:trHeight w:val="216"/>
        </w:trPr>
        <w:tc>
          <w:tcPr>
            <w:tcW w:w="5380" w:type="dxa"/>
            <w:vAlign w:val="bottom"/>
            <w:tcBorders>
              <w:bottom w:val="single" w:sz="8" w:color="CCF0FC"/>
            </w:tcBorders>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interest on debt</w:t>
            </w:r>
          </w:p>
        </w:tc>
        <w:tc>
          <w:tcPr>
            <w:tcW w:w="120" w:type="dxa"/>
            <w:vAlign w:val="bottom"/>
            <w:tcBorders>
              <w:bottom w:val="single" w:sz="8" w:color="auto"/>
            </w:tcBorders>
            <w:shd w:val="clear" w:color="auto" w:fill="CCF0FC"/>
          </w:tcPr>
          <w:p>
            <w:pPr>
              <w:spacing w:after="0"/>
              <w:rPr>
                <w:sz w:val="18"/>
                <w:szCs w:val="18"/>
                <w:color w:val="auto"/>
              </w:rPr>
            </w:pPr>
          </w:p>
        </w:tc>
        <w:tc>
          <w:tcPr>
            <w:tcW w:w="98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Borders>
              <w:bottom w:val="single" w:sz="8" w:color="CCF0FC"/>
            </w:tcBorders>
            <w:shd w:val="clear" w:color="auto" w:fill="CCF0FC"/>
          </w:tcPr>
          <w:p>
            <w:pPr>
              <w:spacing w:after="0"/>
              <w:rPr>
                <w:sz w:val="18"/>
                <w:szCs w:val="18"/>
                <w:color w:val="auto"/>
              </w:rPr>
            </w:pPr>
          </w:p>
        </w:tc>
        <w:tc>
          <w:tcPr>
            <w:tcW w:w="100" w:type="dxa"/>
            <w:vAlign w:val="bottom"/>
            <w:tcBorders>
              <w:bottom w:val="single" w:sz="8" w:color="auto"/>
            </w:tcBorders>
            <w:shd w:val="clear" w:color="auto" w:fill="CCF0FC"/>
          </w:tcPr>
          <w:p>
            <w:pPr>
              <w:spacing w:after="0"/>
              <w:rPr>
                <w:sz w:val="18"/>
                <w:szCs w:val="18"/>
                <w:color w:val="auto"/>
              </w:rPr>
            </w:pPr>
          </w:p>
        </w:tc>
        <w:tc>
          <w:tcPr>
            <w:tcW w:w="100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80" w:type="dxa"/>
            <w:vAlign w:val="bottom"/>
            <w:tcBorders>
              <w:bottom w:val="single" w:sz="8" w:color="CCF0FC"/>
            </w:tcBorders>
            <w:shd w:val="clear" w:color="auto" w:fill="CCF0FC"/>
          </w:tcPr>
          <w:p>
            <w:pPr>
              <w:spacing w:after="0"/>
              <w:rPr>
                <w:sz w:val="18"/>
                <w:szCs w:val="18"/>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34,281</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Accrued loss on supplier commitments reflects accrued loss on purchase obligations with its suppliers for component inventory expected to be scrapped.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warranty</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Provision for warranty claims is primarily related to our hardware products and recorded at the time products are sold. The change to accrued warranty was as follows (in thousands):</w:t>
      </w:r>
    </w:p>
    <w:p>
      <w:pPr>
        <w:sectPr>
          <w:pgSz w:w="11900" w:h="16838" w:orient="portrait"/>
          <w:cols w:equalWidth="0" w:num="1">
            <w:col w:w="11240"/>
          </w:cols>
          <w:pgMar w:left="320" w:top="119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Costs to service warranty</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Provision (decrease) increase, net</w:t>
      </w:r>
    </w:p>
    <w:p>
      <w:pPr>
        <w:spacing w:after="0" w:line="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91"/>
        </w:trPr>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1,484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1,443</w:t>
            </w:r>
          </w:p>
        </w:tc>
        <w:tc>
          <w:tcPr>
            <w:tcW w:w="6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20"/>
                <w:szCs w:val="20"/>
                <w:color w:val="auto"/>
              </w:rPr>
            </w:pP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-582295</wp:posOffset>
            </wp:positionV>
            <wp:extent cx="4989195"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-307975</wp:posOffset>
            </wp:positionV>
            <wp:extent cx="4989195" cy="146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4180"/>
          </w:cols>
          <w:pgMar w:left="320" w:top="1199" w:right="339" w:bottom="1440" w:gutter="0" w:footer="0" w:header="0"/>
          <w:type w:val="continuous"/>
        </w:sectPr>
      </w:pPr>
    </w:p>
    <w:p>
      <w:pPr>
        <w:spacing w:after="0" w:line="6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$1.3 million is included in Other current liabilities and $0.1 million is included in Other noncurrent liabilities on the Company’s consolidated balance sheet. At December 31, 2025, $1.5 million is included in Other current liabilities and $0.1 million is included in Other noncurrent liabilities on the Company’s consolidated balance sheet.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current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2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8"/>
                <w:szCs w:val="18"/>
                <w:color w:val="auto"/>
              </w:rPr>
              <w:t>Accrued sales returns</w:t>
            </w:r>
          </w:p>
        </w:tc>
        <w:tc>
          <w:tcPr>
            <w:tcW w:w="1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78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840" w:type="dxa"/>
            <w:vAlign w:val="bottom"/>
            <w:shd w:val="clear" w:color="auto" w:fill="CCF0FC"/>
          </w:tcPr>
          <w:p>
            <w:pPr>
              <w:spacing w:after="0"/>
              <w:rPr>
                <w:sz w:val="18"/>
                <w:szCs w:val="18"/>
                <w:color w:val="auto"/>
              </w:rPr>
            </w:pPr>
          </w:p>
        </w:tc>
        <w:tc>
          <w:tcPr>
            <w:tcW w:w="220" w:type="dxa"/>
            <w:vAlign w:val="bottom"/>
            <w:shd w:val="clear" w:color="auto" w:fill="CCF0FC"/>
          </w:tcPr>
          <w:p>
            <w:pPr>
              <w:spacing w:after="0"/>
              <w:rPr>
                <w:sz w:val="18"/>
                <w:szCs w:val="18"/>
                <w:color w:val="auto"/>
              </w:rPr>
            </w:pPr>
          </w:p>
        </w:tc>
        <w:tc>
          <w:tcPr>
            <w:tcW w:w="14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shd w:val="clear" w:color="auto" w:fill="CCF0FC"/>
          </w:tcPr>
          <w:p>
            <w:pPr>
              <w:spacing w:after="0"/>
              <w:rPr>
                <w:sz w:val="18"/>
                <w:szCs w:val="18"/>
                <w:color w:val="auto"/>
              </w:rPr>
            </w:pPr>
          </w:p>
        </w:tc>
        <w:tc>
          <w:tcPr>
            <w:tcW w:w="220" w:type="dxa"/>
            <w:vAlign w:val="bottom"/>
            <w:shd w:val="clear" w:color="auto" w:fill="CCF0FC"/>
          </w:tcPr>
          <w:p>
            <w:pPr>
              <w:spacing w:after="0"/>
              <w:rPr>
                <w:sz w:val="18"/>
                <w:szCs w:val="18"/>
                <w:color w:val="auto"/>
              </w:rPr>
            </w:pPr>
          </w:p>
        </w:tc>
        <w:tc>
          <w:tcPr>
            <w:tcW w:w="13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shd w:val="clear" w:color="auto" w:fill="CC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78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840" w:type="dxa"/>
            <w:vAlign w:val="bottom"/>
            <w:shd w:val="clear" w:color="auto" w:fill="CCF0FC"/>
          </w:tcPr>
          <w:p>
            <w:pPr>
              <w:spacing w:after="0"/>
              <w:rPr>
                <w:sz w:val="18"/>
                <w:szCs w:val="18"/>
                <w:color w:val="auto"/>
              </w:rPr>
            </w:pPr>
          </w:p>
        </w:tc>
        <w:tc>
          <w:tcPr>
            <w:tcW w:w="220" w:type="dxa"/>
            <w:vAlign w:val="bottom"/>
            <w:tcBorders>
              <w:bottom w:val="single" w:sz="8" w:color="auto"/>
            </w:tcBorders>
            <w:shd w:val="clear" w:color="auto" w:fill="CCF0FC"/>
          </w:tcPr>
          <w:p>
            <w:pPr>
              <w:spacing w:after="0"/>
              <w:rPr>
                <w:sz w:val="18"/>
                <w:szCs w:val="18"/>
                <w:color w:val="auto"/>
              </w:rPr>
            </w:pPr>
          </w:p>
        </w:tc>
        <w:tc>
          <w:tcPr>
            <w:tcW w:w="142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CF0FC"/>
          </w:tcPr>
          <w:p>
            <w:pPr>
              <w:spacing w:after="0"/>
              <w:rPr>
                <w:sz w:val="18"/>
                <w:szCs w:val="18"/>
                <w:color w:val="auto"/>
              </w:rPr>
            </w:pPr>
          </w:p>
        </w:tc>
        <w:tc>
          <w:tcPr>
            <w:tcW w:w="220" w:type="dxa"/>
            <w:vAlign w:val="bottom"/>
            <w:tcBorders>
              <w:bottom w:val="single" w:sz="8" w:color="auto"/>
            </w:tcBorders>
            <w:shd w:val="clear" w:color="auto" w:fill="CCF0FC"/>
          </w:tcPr>
          <w:p>
            <w:pPr>
              <w:spacing w:after="0"/>
              <w:rPr>
                <w:sz w:val="18"/>
                <w:szCs w:val="18"/>
                <w:color w:val="auto"/>
              </w:rPr>
            </w:pPr>
          </w:p>
        </w:tc>
        <w:tc>
          <w:tcPr>
            <w:tcW w:w="13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5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6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color w:val="auto"/>
              </w:rPr>
              <w:t>F-16</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Other noncurrent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430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loss on supplier commitments</w:t>
            </w:r>
          </w:p>
        </w:tc>
        <w:tc>
          <w:tcPr>
            <w:tcW w:w="240" w:type="dxa"/>
            <w:vAlign w:val="bottom"/>
            <w:shd w:val="clear" w:color="auto" w:fill="CC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48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80" w:type="dxa"/>
            <w:vAlign w:val="bottom"/>
            <w:shd w:val="clear" w:color="auto" w:fill="CC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r>
      <w:tr>
        <w:trPr>
          <w:trHeight w:val="216"/>
        </w:trPr>
        <w:tc>
          <w:tcPr>
            <w:tcW w:w="4300" w:type="dxa"/>
            <w:vAlign w:val="bottom"/>
            <w:tcBorders>
              <w:bottom w:val="single" w:sz="8" w:color="CCF0FC"/>
            </w:tcBorders>
            <w:shd w:val="clear" w:color="auto" w:fill="CC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F0FC"/>
          </w:tcPr>
          <w:p>
            <w:pPr>
              <w:spacing w:after="0"/>
              <w:rPr>
                <w:sz w:val="18"/>
                <w:szCs w:val="18"/>
                <w:color w:val="auto"/>
              </w:rPr>
            </w:pPr>
          </w:p>
        </w:tc>
        <w:tc>
          <w:tcPr>
            <w:tcW w:w="140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60" w:type="dxa"/>
            <w:vAlign w:val="bottom"/>
            <w:tcBorders>
              <w:bottom w:val="single" w:sz="8" w:color="CCF0FC"/>
            </w:tcBorders>
            <w:shd w:val="clear" w:color="auto" w:fill="CCF0FC"/>
          </w:tcPr>
          <w:p>
            <w:pPr>
              <w:spacing w:after="0"/>
              <w:rPr>
                <w:sz w:val="18"/>
                <w:szCs w:val="18"/>
                <w:color w:val="auto"/>
              </w:rPr>
            </w:pPr>
          </w:p>
        </w:tc>
        <w:tc>
          <w:tcPr>
            <w:tcW w:w="220" w:type="dxa"/>
            <w:vAlign w:val="bottom"/>
            <w:tcBorders>
              <w:bottom w:val="single" w:sz="8" w:color="auto"/>
            </w:tcBorders>
            <w:shd w:val="clear" w:color="auto" w:fill="CCF0FC"/>
          </w:tcPr>
          <w:p>
            <w:pPr>
              <w:spacing w:after="0"/>
              <w:rPr>
                <w:sz w:val="18"/>
                <w:szCs w:val="18"/>
                <w:color w:val="auto"/>
              </w:rPr>
            </w:pPr>
          </w:p>
        </w:tc>
        <w:tc>
          <w:tcPr>
            <w:tcW w:w="13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tcBorders>
              <w:bottom w:val="single" w:sz="8" w:color="CCF0FC"/>
            </w:tcBorders>
            <w:shd w:val="clear" w:color="auto" w:fill="CCF0FC"/>
          </w:tcPr>
          <w:p>
            <w:pPr>
              <w:spacing w:after="0"/>
              <w:rPr>
                <w:sz w:val="18"/>
                <w:szCs w:val="18"/>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8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-170815</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tooling</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37,036</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 to 10 years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to 13 years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w:t>
            </w:r>
          </w:p>
        </w:tc>
        <w:tc>
          <w:tcPr>
            <w:tcW w:w="1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Impairment</w:t>
            </w: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(8,849)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-454025</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depreciation expense was $4.2 million and $1.3 million for the years ended December 31, 2024 and 2025, respectively.</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impairment triggers identified during the year ended December 31, 2024, the Company completed a quantitative assessment on the Company's long-lived assets for recoverability. Based on the quantitative assessment performed, management concluded that the assets were not recoverable.</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For the long-lived assets classified as property and equipment, including leasehold improvements on certain operating leases, the assets were valued using a cost approach. A replacement cost was estimated by applying age and asset-type specific indices to the assets' original cost. That replacement cost was then depreciated for physical wear and tear by applying a straight-line method with lives based on the book depreciation lives for property and equipment and internal use software, and lives based on the lesser of the physical life and the life of the property lease for leasehold improvements. The resulting depreciated replacement cost was then reduced further for economic obsolescence. After completing a business enterprise valuation, the Company determined that earnings were insufficient to support the values of the assets and an adjustment was made. As a result, the Company determined that the carrying values were higher than the computed fair values for most of the assets, resulting in an impairment loss of $8.8 million, consisting of $4.9 million for equipment and tooling, $3.2 million for leasehold improvements, $0.6 million for computer equipment and $0.1 million for furniture and fixtures. The Company recorded this impairment as of September 30, 2024 and the loss is included in Impairment expense on the consolidated statements of operations and comprehensive loss. There was no further impairment recognized for the year ended December 31, 2025. As of December 31, 2025, the costs of the assets reflect the impact of the impairment.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Software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Software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9"/>
              <w:spacing w:after="0" w:line="126"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40" w:type="dxa"/>
            <w:vAlign w:val="bottom"/>
          </w:tcPr>
          <w:p>
            <w:pPr>
              <w:spacing w:after="0"/>
              <w:rPr>
                <w:sz w:val="10"/>
                <w:szCs w:val="10"/>
                <w:color w:val="auto"/>
              </w:rPr>
            </w:pPr>
          </w:p>
        </w:tc>
        <w:tc>
          <w:tcPr>
            <w:tcW w:w="1100" w:type="dxa"/>
            <w:vAlign w:val="bottom"/>
            <w:gridSpan w:val="3"/>
          </w:tcPr>
          <w:p>
            <w:pPr>
              <w:jc w:val="right"/>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right"/>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Impairment</w:t>
            </w:r>
          </w:p>
        </w:tc>
        <w:tc>
          <w:tcPr>
            <w:tcW w:w="12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Net balance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Impairment</w:t>
            </w:r>
          </w:p>
        </w:tc>
        <w:tc>
          <w:tcPr>
            <w:tcW w:w="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Net balance</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Acquired software and</w:t>
            </w:r>
          </w:p>
        </w:tc>
        <w:tc>
          <w:tcPr>
            <w:tcW w:w="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 to 7 years</w:t>
            </w:r>
          </w:p>
        </w:tc>
        <w:tc>
          <w:tcPr>
            <w:tcW w:w="30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16,943</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(16,104)</w:t>
            </w: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(505)</w:t>
            </w:r>
          </w:p>
        </w:tc>
        <w:tc>
          <w:tcPr>
            <w:tcW w:w="360" w:type="dxa"/>
            <w:vAlign w:val="bottom"/>
            <w:gridSpan w:val="2"/>
            <w:vMerge w:val="restart"/>
            <w:shd w:val="clear" w:color="auto" w:fill="CFF0FC"/>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38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16,640</w:t>
            </w:r>
          </w:p>
        </w:tc>
        <w:tc>
          <w:tcPr>
            <w:tcW w:w="2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(16,251)</w:t>
            </w:r>
          </w:p>
        </w:tc>
        <w:tc>
          <w:tcPr>
            <w:tcW w:w="460" w:type="dxa"/>
            <w:vAlign w:val="bottom"/>
            <w:vMerge w:val="restart"/>
            <w:shd w:val="clear" w:color="auto" w:fill="CFF0FC"/>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Software for internal use</w:t>
            </w:r>
          </w:p>
        </w:tc>
        <w:tc>
          <w:tcPr>
            <w:tcW w:w="72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32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gridSpan w:val="2"/>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5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Software marketed for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 years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22,789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(10,569)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11,658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27,922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(13,744)</w:t>
            </w:r>
          </w:p>
        </w:tc>
        <w:tc>
          <w:tcPr>
            <w:tcW w:w="460" w:type="dxa"/>
            <w:vAlign w:val="bottom"/>
          </w:tcPr>
          <w:p>
            <w:pPr>
              <w:spacing w:after="0"/>
              <w:rPr>
                <w:sz w:val="10"/>
                <w:szCs w:val="10"/>
                <w:color w:val="auto"/>
              </w:rPr>
            </w:pP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external sale</w:t>
            </w: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5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3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39,732</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ind w:left="420"/>
              <w:spacing w:after="0" w:line="129" w:lineRule="exact"/>
              <w:rPr>
                <w:sz w:val="20"/>
                <w:szCs w:val="20"/>
                <w:color w:val="auto"/>
              </w:rPr>
            </w:pPr>
            <w:r>
              <w:rPr>
                <w:rFonts w:ascii="Times New Roman" w:cs="Times New Roman" w:eastAsia="Times New Roman" w:hAnsi="Times New Roman"/>
                <w:sz w:val="14"/>
                <w:szCs w:val="14"/>
                <w:color w:val="auto"/>
                <w:w w:val="91"/>
              </w:rPr>
              <w:t>(26,673)</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(1,067)</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gridSpan w:val="2"/>
            <w:shd w:val="clear" w:color="auto" w:fill="CFF0FC"/>
          </w:tcPr>
          <w:p>
            <w:pPr>
              <w:jc w:val="right"/>
              <w:ind w:right="93"/>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11,992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44,562</w:t>
            </w:r>
          </w:p>
        </w:tc>
        <w:tc>
          <w:tcPr>
            <w:tcW w:w="200" w:type="dxa"/>
            <w:vAlign w:val="bottom"/>
            <w:tcBorders>
              <w:bottom w:val="single" w:sz="8" w:color="CFF0FC"/>
            </w:tcBorders>
            <w:gridSpan w:val="2"/>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ind w:left="380"/>
              <w:spacing w:after="0" w:line="129" w:lineRule="exact"/>
              <w:rPr>
                <w:sz w:val="20"/>
                <w:szCs w:val="20"/>
                <w:color w:val="auto"/>
              </w:rPr>
            </w:pPr>
            <w:r>
              <w:rPr>
                <w:rFonts w:ascii="Times New Roman" w:cs="Times New Roman" w:eastAsia="Times New Roman" w:hAnsi="Times New Roman"/>
                <w:sz w:val="14"/>
                <w:szCs w:val="14"/>
                <w:color w:val="auto"/>
                <w:w w:val="91"/>
              </w:rPr>
              <w:t>(29,995)</w:t>
            </w:r>
          </w:p>
        </w:tc>
        <w:tc>
          <w:tcPr>
            <w:tcW w:w="20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jc w:val="right"/>
              <w:ind w:right="31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(192)</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1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14,375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-25400</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-8255</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-25400</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-8255</wp:posOffset>
            </wp:positionV>
            <wp:extent cx="774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-25400</wp:posOffset>
            </wp:positionV>
            <wp:extent cx="774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-25400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4" w:name="page105"/>
    <w:bookmarkEnd w:id="104"/>
    <w:p>
      <w:pPr>
        <w:ind w:right="360" w:firstLine="509"/>
        <w:spacing w:after="0" w:line="289" w:lineRule="auto"/>
        <w:rPr>
          <w:sz w:val="20"/>
          <w:szCs w:val="20"/>
          <w:color w:val="auto"/>
        </w:rPr>
      </w:pPr>
      <w:r>
        <w:rPr>
          <w:rFonts w:ascii="Times New Roman" w:cs="Times New Roman" w:eastAsia="Times New Roman" w:hAnsi="Times New Roman"/>
          <w:sz w:val="17"/>
          <w:szCs w:val="17"/>
          <w:color w:val="auto"/>
        </w:rPr>
        <w:t>Amortization of acquired and internal use software is computed using the straight-line method over an estimated useful life of generally three to seven years. Amortization expense recognized on acquired and internal use software is reflected in depreciation and amortization in the consolidated statements of operations. Amortization expense was $0.4 million and $0.1 million for the years ended December 31, 2024 and 2025, respectively.</w:t>
      </w:r>
    </w:p>
    <w:p>
      <w:pPr>
        <w:spacing w:after="0" w:line="5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software to be marketed for external sale was $3.9 million and $3.2 million for the years ended December 31, 2024 and 2025, respectively, and is included in cost of revenues on the consolidated statements of operations.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impairment triggers identified for the year ended December 31, 2024, the Company completed a quantitative assessment on the Company's long-lived assets for recoverability and recognized a $0.5 million impairment on its internal use software and is included in Impairment expense on the consolidated statement of operations. There was no further impairment recognized for the year ended December 31, 2025. As of December 31, 2025, the gross carrying amount of the acquired software and software for internal use reflect the impact of the impairment.</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completes the net realizable value test on its software to be marketed for external sale and compares the unamortized capitalized costs of each computer software product to its net realizable value of that product at each reporting period. The amount by which the unamortized capitalized costs of the computer software product exceeds the net realizable value of that assets shall be written off. The net realizable value was estimated using future gross revenues from that product and was reduced by the estimated future costs of completing and disposing of the product, including the costs of performing maintenance and customer support required to satisfy the Company's responsibility set forth at the time of sale. As a result of the net realizable value test, the Company identified one product for impairment and recognized a $0.6 million impairment as of December 31, 2024. For the year ended December 31, 2025, the Company identified an additional products for impairment and recognized a $0.2 million impairment as of December 31, 2025. These amounts are included in Impairment expense on the consolidated statement of operations and comprehensive loss.</w:t>
      </w:r>
    </w:p>
    <w:p>
      <w:pPr>
        <w:spacing w:after="0" w:line="84" w:lineRule="exact"/>
        <w:rPr>
          <w:sz w:val="20"/>
          <w:szCs w:val="20"/>
          <w:color w:val="auto"/>
        </w:rPr>
      </w:pPr>
    </w:p>
    <w:p>
      <w:pPr>
        <w:ind w:right="400" w:firstLine="509"/>
        <w:spacing w:after="0" w:line="257" w:lineRule="auto"/>
        <w:rPr>
          <w:sz w:val="20"/>
          <w:szCs w:val="20"/>
          <w:color w:val="auto"/>
        </w:rPr>
      </w:pPr>
      <w:r>
        <w:rPr>
          <w:rFonts w:ascii="Times New Roman" w:cs="Times New Roman" w:eastAsia="Times New Roman" w:hAnsi="Times New Roman"/>
          <w:sz w:val="18"/>
          <w:szCs w:val="18"/>
          <w:color w:val="auto"/>
        </w:rPr>
        <w:t>Based on capitalized software assets at December 31, 2025, after recognition of the above noted impairment, estimated amortization expense in future fiscal years is as follows (in thousands):</w:t>
      </w:r>
    </w:p>
    <w:tbl>
      <w:tblPr>
        <w:tblLayout w:type="fixed"/>
        <w:tblInd w:w="0" w:type="dxa"/>
        <w:tblCellMar>
          <w:top w:w="0" w:type="dxa"/>
          <w:left w:w="0" w:type="dxa"/>
          <w:bottom w:w="0" w:type="dxa"/>
          <w:right w:w="0" w:type="dxa"/>
        </w:tblCellMar>
      </w:tblPr>
      <w:tr>
        <w:trPr>
          <w:trHeight w:val="131"/>
        </w:trPr>
        <w:tc>
          <w:tcPr>
            <w:tcW w:w="6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Acquired software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and Software for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marketed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internal use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external sale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13,986</w:t>
            </w:r>
          </w:p>
        </w:tc>
        <w:tc>
          <w:tcPr>
            <w:tcW w:w="16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58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2024 and 2025 were as follows: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-1431290</wp:posOffset>
            </wp:positionV>
            <wp:extent cx="768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-1414145</wp:posOffset>
            </wp:positionV>
            <wp:extent cx="768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-1431290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-1414145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tests goodwill for impairment annually on December 31 and more frequently if an event occurs or circumstances change that would more likely than not reduce the fair value of a reporting unit below its carrying amount and tests intangible assets if an indicator suggests that the carrying amount may not be recoverable.</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the Company experienced a debt covenant breach and a decline in its market capitalization as a result of a sustained decrease in the trading price of the Company's ordinary shares, each of which represented a triggering event causing management to perform a qualitative goodwill impairment test as of September 30, 2024. As a result of the impairment analysis, the Company recorded an impairment charge of $9.0 million against goodwill. The Company recorded this impairment as of September 30, 2024 and the loss is included in Impairment expense on the consolidated statements of operations and comprehensive loss for the year ended December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5" w:name="page106"/>
    <w:bookmarkEnd w:id="105"/>
    <w:p>
      <w:pPr>
        <w:ind w:right="340" w:firstLine="55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Company's single reporting unit had a negative carrying value and no further goodwill impairment was recorded.</w:t>
      </w:r>
    </w:p>
    <w:p>
      <w:pPr>
        <w:spacing w:after="0" w:line="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As part of the Company's review of its long-lived assets, the Company completed an assessment of its customer relationship intangible during the year ended December 31, 2024 to determine its fair value. The excess earnings method was utilized to value the customer relationships intangible. Based on the results of its assessment, the Company determined that fair value of its customer relationship intangible was negative and the entire value was impaired, resulting in an impairment loss of $6.6 million and the loss is included in Impairment expense on the consolidated statements of operations and comprehensive loss.</w:t>
      </w:r>
    </w:p>
    <w:p>
      <w:pPr>
        <w:spacing w:after="0" w:line="75" w:lineRule="exact"/>
        <w:rPr>
          <w:sz w:val="20"/>
          <w:szCs w:val="20"/>
          <w:color w:val="auto"/>
        </w:rPr>
      </w:pPr>
    </w:p>
    <w:p>
      <w:pPr>
        <w:ind w:right="320" w:firstLine="554"/>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over their expected useful life and none are expected to have a significant residual value. The useful life, gross carrying value, accumulated amortization, and net balance for the Company's customer relationship intangible at December 31, 2024 was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6"/>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2"/>
                <w:szCs w:val="12"/>
                <w:color w:val="auto"/>
              </w:rPr>
            </w:pPr>
          </w:p>
        </w:tc>
        <w:tc>
          <w:tcPr>
            <w:tcW w:w="128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4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 balance</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9"/>
              </w:rPr>
              <w:t>5 to 18 years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(12,749)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(6,551)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(6,551)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-170815</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amortization expense was $1.1 million for the year ended December 31, 2024. As the intangible asset was fully impaired in 2024, there was no amortization expense recognized for the year ended December 31, 2025.</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$21.5 million outstanding under its term loan facility and $45.0 million in borrowings under its revolving credit facility. The Company has no available borrowing capacity under its revolving credit facility.</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$22.8 million outstanding under its term loan facility and $45.0 million in borrowings under its revolving credit facility. The Company has no available borrowing capacity under its revolving credit facility.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the current and noncurrent portions of the debt facilities at December 31, 2024 and December 31, 2025 (in thousands):</w:t>
      </w:r>
    </w:p>
    <w:p>
      <w:pPr>
        <w:spacing w:after="0" w:line="9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issuance costs on term loan facility</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67,639</w:t>
            </w:r>
          </w:p>
        </w:tc>
        <w:tc>
          <w:tcPr>
            <w:tcW w:w="3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66,383</w:t>
            </w:r>
          </w:p>
        </w:tc>
        <w:tc>
          <w:tcPr>
            <w:tcW w:w="80" w:type="dxa"/>
            <w:vAlign w:val="bottom"/>
            <w:tcBorders>
              <w:top w:val="single" w:sz="8" w:color="CFF0FC"/>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(67,639)</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(66,383)</w:t>
            </w: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-462280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-462280</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credit agreements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December 29, 2023, the Company entered into the Second Amendment to Credit Agreement (the “Second Amendment”), which amended the credit agreement, dated as of November 17, 2021 (the “Credit Agreement”, the Credit Agreement as amended, the “Existing Credit Agreement,” and the Existing Credit Agreement, as amended by the Second Amendment, the “Amended Credit Agreement”) by and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Cambium Networks, Ltd. as the borrower (the “Borrower”), the Company as a guarantor, Cambium (US), L.L.C., as a guarantor, certain other subsidiaries of the Company party thereto as guarantors (with the Borrower and each guarantor being, individually, a “Loan Party” and collectively, the “Loan Parties”), Bank of America, N.A., as Administrative Agent (in such capacity, the “Administrative Agent”), a Lender, Swingline Lender and an L/C Issuer and the other Lenders party thereto from time to time. Capitalized terms used but not otherwise defined herein shall have the meanings as assigned to such terms in the Second Amendment and Amended Credit Agreement as previously filed as Exhibit 10.47 and incorporated by reference in this Annual Report on Form 10-K.</w:t>
      </w:r>
    </w:p>
    <w:p>
      <w:pPr>
        <w:spacing w:after="0" w:line="84"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Second Amendment amended the Existing Credit Agreement by, among other things, establishing a covenant relief period, which began on December 31, 2023 and ended on November 30, 2024 (“Covenant Relief Period”) during which time the Company was (a) required to maintain certain Liquidity, (b) required to maintain certain levels of Consolidated EBITDA, (c) required to provide certain additional financial reporting to the Administrative Agent and (d) not required to meet (or, during such period, test) 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6" w:name="page107"/>
    <w:bookmarkEnd w:id="106"/>
    <w:p>
      <w:pPr>
        <w:ind w:right="360"/>
        <w:spacing w:after="0" w:line="261" w:lineRule="auto"/>
        <w:rPr>
          <w:sz w:val="20"/>
          <w:szCs w:val="20"/>
          <w:color w:val="auto"/>
        </w:rPr>
      </w:pPr>
      <w:r>
        <w:rPr>
          <w:rFonts w:ascii="Times New Roman" w:cs="Times New Roman" w:eastAsia="Times New Roman" w:hAnsi="Times New Roman"/>
          <w:sz w:val="18"/>
          <w:szCs w:val="18"/>
          <w:color w:val="auto"/>
        </w:rPr>
        <w:t>Consolidated Leverage Ratio or Consolidated Fixed Charge Coverage Ratio. Additionally, the Second Amendment provided that, during the Covenant Relief Period, (x) the Applicable Rate of interest being incurred on any outstanding Loans is increased to 3.25% per annum for Term SOFR Loans and</w:t>
      </w:r>
    </w:p>
    <w:p>
      <w:pPr>
        <w:ind w:right="200"/>
        <w:spacing w:after="0" w:line="260" w:lineRule="auto"/>
        <w:rPr>
          <w:sz w:val="20"/>
          <w:szCs w:val="20"/>
          <w:color w:val="auto"/>
        </w:rPr>
      </w:pPr>
      <w:r>
        <w:rPr>
          <w:rFonts w:ascii="Times New Roman" w:cs="Times New Roman" w:eastAsia="Times New Roman" w:hAnsi="Times New Roman"/>
          <w:sz w:val="18"/>
          <w:szCs w:val="18"/>
          <w:color w:val="auto"/>
        </w:rPr>
        <w:t>2.25% per annum for Base Rate Loans, (y) the commitment fee for undrawn commitments is increased to 0.35% and (z) the ability of the Loan Parties to make certain Investments, Dispositions and Restricted Payments, in each case, as more fully set forth in the Amended Credit Agreement.</w:t>
      </w:r>
    </w:p>
    <w:p>
      <w:pPr>
        <w:spacing w:after="0" w:line="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December 31, 2025, the applicable margin was 2.25% and the effective interest rate on the term loan facility was 9.45%. The weighted-average interest rate on the revolving credit facility was 9.23% for the year ended December 31, 2024. In addition to the interest charged on the term loan facility and the revolving credit facility, as a result of the covenant violations, the bank converted the term loan and revolving credit facilities to Base Rate loans on the default date and has imposed an additional 2% interest penalty on all outstanding amounts until the events of default are cured.</w:t>
      </w:r>
    </w:p>
    <w:p>
      <w:pPr>
        <w:spacing w:after="0" w:line="72"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maturity date of the term loan facility and the revolving credit facility, with all amounts outstanding becoming due and payable in full, is November 17, 2026.</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Obligations under the Second Amendment are guaranteed by the Loan Parties and secured by Collateral, in each case, as set forth in the Existing Credit Agreement, including a lien on all assets owned by the Borrower (subject to agreed security principles, but providing for a customary qualifying floating charge over all of the Company's assets, with certain customary exceptions). The Second Amendment also required the Borrower and its Subsidiaries to transition certain of their primary principal disbursement services, payroll services and primary operating customer deposit services to Bank of America, N.A.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covenants and violations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Amended Credit Agreement is subject to financial covenants, including covenants which require the Company to meet key financial ratios and customary affirmative and negative covenants. Beginning in September 2024 and continuing through December 31, 2025, the Company was not in compliance with its financial covenants. In addition, the Company ceased payment of required quarterly principal and interest on the term loan facility and periodic interest on the revolving credit facility as of June 2025, providing an additional payment default under the Amended Credit Agreement. As the covenant violations give the lender the right to require immediate repayment of the amounts outstanding, the entire $21.5 million outstanding on the term loan facility and the $45.0 million outstanding under the revolving credit facility are classified as current and included in Current portion of long-term debt, net on the consolidated balance sheets as of December 31, 2025. Further, the $0.1 million of unamortized debt issuance cost associated with the term loan facility is classified as current and included in Current portion of long-term debt, net and $0.2 million of unamortized debt issuance costs associated with the revolving credit facility is classified as current and included in Other current assets on the consolidated balance sheets as of December 31 2025. If the lender requires immediate repayment of the outstanding term loan facility and revolving credit facility, the Company would be required to write-off the unamortized debt issuance costs upon extinguishment of the debt.</w:t>
      </w:r>
    </w:p>
    <w:p>
      <w:pPr>
        <w:spacing w:after="0" w:line="84"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Although such defaults afford the lender the right to declare the amounts outstanding immediately due and payable, the Company continues to have regular discussions with the lender to obtain a waiver of the defaults, or otherwise refinance the indebtedness. There can be no assurances that the lender will provide a waiver and could declare the Company in default and accelerate all amounts due under the term loan facility and the revolving credit facility.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Interest expense, including bank charges and amortization of debt issuance costs, was $5.8 million and $9.0 million for the years ended December 31, 2024 and 2025, respectively. The increase in interest expense is primarily due to the addition of interest on the revolving credit facility against amounts borrowed in the first half of 2024, an increase in the interest rate due to the events of default noted above, the 2% penalty assessed against both the term facility and the revolving credit facility due to the events of default and a reduction of interest income due to the lower cash balances. For the year ended December 31, 2024, the Company expensed $0.6 million of fees related to an aborted amendment to our secured credit agreement.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Note 7. Employee benefit plans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employee benefit plans currently consist of a defined contribution plan in the United States and a separate defined contribution plan in the UK. The Company does not offer any other elective postretirement benefit plans, such as retiree medical and dental benefits or deferred compensation agreements to its employees or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plan</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U.S. regular, full-time employees are eligible to participate in the Cambium Networks, Inc. 401(k) Plan, which is a qualified defined contribution plan under section 401(k) of the Internal Revenue Service Code. Under the Cambium Networks, Inc. 401(k) Plan, the Company contributes a dollar-for-dollar match of the first 4% an employee contributes to the plan. Employees are eligible to participate on the first day of the month following their date of hire and begin receiving company contributions three-months after they become eligible to participate in the plan. Company matching contributions are made each pay period, but the funds do not vest until the employee’s second anniversary of employment with the Company. Employees are always fully vested in their own contributions. All contributions, including the Company match, are made in cash and invested in accordance with the participants’ investment elections. Contributions made by the Company under the Cambium Networks, Inc. 401(k) Plan were $0.8 million and $0.9 million for the years ended December 31, 2024 and 2025,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plan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Regular, full-time UK employees are eligible to participate in the Cambium Networks Ltd. Stakeholder Pension Scheme, which is a qualified defined contribution plan. Employees are eligible to participate on the first of the month following receipt of their enrollment form, and eligible employees are automatically enrolled in the plan at a default employee contribution rate of 3% and a company contribution rate of 5% of the employee’s basic salary. The Company contribution rate increases by 1% for each additional 1% that the employee contributes up to a maximum of 7%. Company matching contributions vest immediately and employees are always vested in their own contributions. All contributions, including the Company match, are made in cash and deposited in the participant’s account each pay period. The total contributed by the Company under this plan was $0.4 million and $0.3 million for the years ended December 31, 2024 and 2025,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Other expense, net</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Other expense, net was expense of $0.1 million and expense of $3 thousand for the years ended December 31, 2024 and 2025, respectively, and represents foreign exchange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2025, the Company's articles of association authorized the Company to issue up to 500,000,000 ordinary shares. Each holder of the Company's ordinary shares is entitled to one vote for each share on all matters submitted to a vote of the shareholders, including the election of directors.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no dividends have been declared or paid.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2019 Share incentive plan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2019, the Company’s Board of Directors adopted, and its shareholders approved, the 2019 Share Incentive Plan (“2019 Plan”). The 2019 Plan provides for the grant of incentive share options, nonqualified share options, share appreciation rights, restricted share awards (“RSAs”), restricted share units (“RSUs”), other share-based awards and performance awards. The share reserve under the 2019 Plan will be automatically increased on the first day of each fiscal year, beginning with the fiscal year ended December 31, 2020 and will continue until, and including, the fiscal year ending December 31, 2029. The number of shares added annually will be equal to the lowest of 1,320,000 shares, 5% of the number of the Company’s shares outstanding on the first day of such fiscal year, or an amount determined by the Board of Directors. On March 1, 2023, the Company registered 1,320,000 additional shares that may be issued under the 2019 plan. On March 18, 2024 the Company registered 1,320,000 additional shares that may be issued under the 2019 Plan. The Company added 1,320,000 shares to the 2019 Plan as of January 1, 2025, under this provision. Due to the Company's noncompliance with Nasdaq Listing Rule 5250(c)(1) (the "Filing Rule") for failure to timely file its Form 10-K for the year ended December 31, 2024, the Company was not able to register these additional shares during 2025 to be issued under the 2019 Plan.</w:t>
      </w:r>
    </w:p>
    <w:p>
      <w:pPr>
        <w:spacing w:after="0" w:line="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employees, officers, directors, consultants, and advisors are eligible to receive awards under the 2019 Plan. Incentive share options, however, may only be granted to its employees.</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number of shares available for grant under the Company’s equity incentive plan during the years ended December 31, 2024 and December 31, 2025:</w:t>
      </w:r>
    </w:p>
    <w:p>
      <w:pPr>
        <w:spacing w:after="0" w:line="263" w:lineRule="exact"/>
        <w:rPr>
          <w:sz w:val="20"/>
          <w:szCs w:val="20"/>
          <w:color w:val="auto"/>
        </w:rPr>
      </w:pPr>
    </w:p>
    <w:tbl>
      <w:tblPr>
        <w:tblLayout w:type="fixed"/>
        <w:tblInd w:w="208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42"/>
        </w:trPr>
        <w:tc>
          <w:tcPr>
            <w:tcW w:w="5180" w:type="dxa"/>
            <w:vAlign w:val="bottom"/>
            <w:tcBorders>
              <w:bottom w:val="single" w:sz="8" w:color="CFF0FC"/>
            </w:tcBorders>
          </w:tcPr>
          <w:p>
            <w:pPr>
              <w:spacing w:after="0"/>
              <w:rPr>
                <w:sz w:val="12"/>
                <w:szCs w:val="12"/>
                <w:color w:val="auto"/>
              </w:rPr>
            </w:pPr>
          </w:p>
        </w:tc>
        <w:tc>
          <w:tcPr>
            <w:tcW w:w="18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for grant at December 31, 2023</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1,748,352</w:t>
            </w:r>
          </w:p>
        </w:tc>
        <w:tc>
          <w:tcPr>
            <w:tcW w:w="8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Added to 2019 Share Incentive Plan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1,320,000</w:t>
            </w:r>
          </w:p>
        </w:tc>
        <w:tc>
          <w:tcPr>
            <w:tcW w:w="8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(1,044,920)</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(1,475,625)</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8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Expirations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330,598</w:t>
            </w:r>
          </w:p>
        </w:tc>
        <w:tc>
          <w:tcPr>
            <w:tcW w:w="80" w:type="dxa"/>
            <w:vAlign w:val="bottom"/>
          </w:tcPr>
          <w:p>
            <w:pPr>
              <w:spacing w:after="0"/>
              <w:rPr>
                <w:sz w:val="18"/>
                <w:szCs w:val="18"/>
                <w:color w:val="auto"/>
              </w:rPr>
            </w:pPr>
          </w:p>
        </w:tc>
      </w:tr>
      <w:tr>
        <w:trPr>
          <w:trHeight w:val="216"/>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585,127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grant at December 31, 2024</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1,476,267</w:t>
            </w:r>
          </w:p>
        </w:tc>
        <w:tc>
          <w:tcPr>
            <w:tcW w:w="8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Added to 2019 Share Incentive Plan</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1,320,000</w:t>
            </w:r>
          </w:p>
        </w:tc>
        <w:tc>
          <w:tcPr>
            <w:tcW w:w="8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137,441</w:t>
            </w:r>
          </w:p>
        </w:tc>
        <w:tc>
          <w:tcPr>
            <w:tcW w:w="8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Expirations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248,992</w:t>
            </w:r>
          </w:p>
        </w:tc>
        <w:tc>
          <w:tcPr>
            <w:tcW w:w="8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381,368</w:t>
            </w:r>
          </w:p>
        </w:tc>
        <w:tc>
          <w:tcPr>
            <w:tcW w:w="80" w:type="dxa"/>
            <w:vAlign w:val="bottom"/>
          </w:tcPr>
          <w:p>
            <w:pPr>
              <w:spacing w:after="0"/>
              <w:rPr>
                <w:sz w:val="18"/>
                <w:szCs w:val="18"/>
                <w:color w:val="auto"/>
              </w:rPr>
            </w:pPr>
          </w:p>
        </w:tc>
      </w:tr>
      <w:tr>
        <w:trPr>
          <w:trHeight w:val="249"/>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for grant at December 31, 2025</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3,564,068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-1833880</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-864870</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51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to satisfy the exercise of share options and future distributions of shares for restricted share units and restricted share awards by issuing new ordinary shares which have been reserved under the 2019 Plan.</w:t>
      </w:r>
    </w:p>
    <w:p>
      <w:pPr>
        <w:spacing w:after="0" w:line="54" w:lineRule="exact"/>
        <w:rPr>
          <w:sz w:val="20"/>
          <w:szCs w:val="20"/>
          <w:color w:val="auto"/>
        </w:rPr>
      </w:pPr>
    </w:p>
    <w:p>
      <w:pPr>
        <w:jc w:val="both"/>
        <w:ind w:right="340" w:firstLine="509"/>
        <w:spacing w:after="0" w:line="312" w:lineRule="auto"/>
        <w:rPr>
          <w:sz w:val="20"/>
          <w:szCs w:val="20"/>
          <w:color w:val="auto"/>
        </w:rPr>
      </w:pPr>
      <w:r>
        <w:rPr>
          <w:rFonts w:ascii="Times New Roman" w:cs="Times New Roman" w:eastAsia="Times New Roman" w:hAnsi="Times New Roman"/>
          <w:sz w:val="17"/>
          <w:szCs w:val="17"/>
          <w:color w:val="auto"/>
        </w:rPr>
        <w:t>The Company uses the Black-Scholes option pricing model to estimate the fair value of share options. The Company utilized a forfeiture rate of 11.4% for the years ended December 31, 2024 and December 31, 2025 for estimating the forfeitures of share options and restricted share units granted.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Share options typically have a contractual term of ten years from grant date. The following is a summary of option activity for the Company’s share incentive plans for year ended December 31, 2025:</w:t>
      </w:r>
    </w:p>
    <w:p>
      <w:pPr>
        <w:spacing w:after="0" w:line="14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5,418,312</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(248,992)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(230,323)</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4,938,997</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December 31, 2025</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3,662,554</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11.27</w:t>
            </w:r>
          </w:p>
        </w:tc>
        <w:tc>
          <w:tcPr>
            <w:tcW w:w="13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500" w:type="dxa"/>
            <w:vAlign w:val="bottom"/>
            <w:tcBorders>
              <w:bottom w:val="single" w:sz="8" w:color="CFF0FC"/>
            </w:tcBorders>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gridSpan w:val="2"/>
            <w:shd w:val="clear" w:color="auto" w:fill="CFF0FC"/>
          </w:tcPr>
          <w:p>
            <w:pPr>
              <w:ind w:left="10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at December 31, 2025</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4,886,418</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10.01</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-496570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-187960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intrinsic value for share options outstanding and exercisable is defined as the difference between the market value of the Company’s ordinary shares as of the end of the period and the grant price. At December 31, 2024 and 2025, the aggregate intrinsic value of options exercisable under the Company’s share incentive plans was $0.0 million and $0.0 million, respectively, as determined as of the date of grant. The Company had no options exercised during the years ended December 31, 2024 and 2025.</w:t>
      </w:r>
    </w:p>
    <w:p>
      <w:pPr>
        <w:spacing w:after="0" w:line="7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there was $4.7 million in unrecognized pre-tax share-based compensation expense, net of estimated forfeitures, related to unvested time-based share option awards. The unrecognized share-based compensation expense is expected to be recognized over a weighted-average period of 1.7 years.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share options using the Black-Scholes option pricing model. The fair value of share options is being amortized on a straight-line basis over the requisite service period of the awards. The fair value of share options is estimated using the following weighted-average assumptions:</w:t>
      </w:r>
    </w:p>
    <w:p>
      <w:pPr>
        <w:spacing w:after="0" w:line="2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76.7%</w:t>
            </w:r>
          </w:p>
        </w:tc>
        <w:tc>
          <w:tcPr>
            <w:tcW w:w="1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 of options granted</w:t>
            </w:r>
          </w:p>
        </w:tc>
        <w:tc>
          <w:tcPr>
            <w:tcW w:w="8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restricted share activity for the Company’s share incentive plans for the year ended December 31, 2025:</w:t>
      </w:r>
    </w:p>
    <w:p>
      <w:pPr>
        <w:sectPr>
          <w:pgSz w:w="11900" w:h="16838" w:orient="portrait"/>
          <w:cols w:equalWidth="0" w:num="1">
            <w:col w:w="11220"/>
          </w:cols>
          <w:pgMar w:left="320" w:top="1199"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 xml:space="preserve">RSU balance at December 31, 2024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-137795</wp:posOffset>
            </wp:positionV>
            <wp:extent cx="4989195"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4445</wp:posOffset>
            </wp:positionV>
            <wp:extent cx="4989195"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RSUs vested</w:t>
      </w:r>
    </w:p>
    <w:p>
      <w:pPr>
        <w:ind w:left="1700"/>
        <w:spacing w:after="0" w:line="224" w:lineRule="auto"/>
        <w:rPr>
          <w:sz w:val="20"/>
          <w:szCs w:val="20"/>
          <w:color w:val="auto"/>
        </w:rPr>
      </w:pPr>
      <w:r>
        <w:rPr>
          <w:rFonts w:ascii="Times New Roman" w:cs="Times New Roman" w:eastAsia="Times New Roman" w:hAnsi="Times New Roman"/>
          <w:sz w:val="18"/>
          <w:szCs w:val="18"/>
          <w:color w:val="auto"/>
        </w:rPr>
        <w:t xml:space="preserve">RSUs forfeited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-11430</wp:posOffset>
            </wp:positionV>
            <wp:extent cx="4989195" cy="1631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RSU balance at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98"/>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3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1,263,210</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(468,374)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4"/>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(151,045)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643,791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ectPr>
          <w:pgSz w:w="11900" w:h="16838" w:orient="portrait"/>
          <w:cols w:equalWidth="0" w:num="2">
            <w:col w:w="6340" w:space="720"/>
            <w:col w:w="4160"/>
          </w:cols>
          <w:pgMar w:left="320" w:top="1199" w:right="359" w:bottom="1440" w:gutter="0" w:footer="0" w:header="0"/>
          <w:type w:val="continuous"/>
        </w:sectPr>
      </w:pPr>
    </w:p>
    <w:p>
      <w:pPr>
        <w:ind w:left="1080" w:hanging="114"/>
        <w:spacing w:after="0"/>
        <w:tabs>
          <w:tab w:leader="none" w:pos="108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the time-based RSUs and the performance-based RSUs for which a grant date has been established, as described below.</w:t>
      </w:r>
    </w:p>
    <w:p>
      <w:pPr>
        <w:spacing w:after="0" w:line="305" w:lineRule="exact"/>
        <w:rPr>
          <w:rFonts w:ascii="Times New Roman" w:cs="Times New Roman" w:eastAsia="Times New Roman" w:hAnsi="Times New Roman"/>
          <w:sz w:val="23"/>
          <w:szCs w:val="23"/>
          <w:color w:val="auto"/>
          <w:vertAlign w:val="superscript"/>
        </w:rPr>
      </w:pPr>
    </w:p>
    <w:p>
      <w:pPr>
        <w:ind w:left="5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type w:val="continuous"/>
        </w:sectPr>
      </w:pPr>
    </w:p>
    <w:bookmarkStart w:id="110" w:name="page111"/>
    <w:bookmarkEnd w:id="110"/>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2024 and 2025, 1,044,920 and 0 RSUs were granted under the 2019 Plan, respectively. The Company withheld 12,735 and 137,441 shares to pay the employees’ portion of the minimum payroll withholding taxes on the RSUs that vested in 2024 and 2025, respectively.</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2025, there was $2.1 million in unrecognized pre-tax compensation expense, net of estimated forfeitures, related to unvested time-based share awards. The unrecognized compensation expense is expected to be recognized over a weighted average period of 1.9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share awards</w:t>
      </w:r>
    </w:p>
    <w:p>
      <w:pPr>
        <w:spacing w:after="0" w:line="119"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In May 2023, performance-based share awards were awarded to select executive officers of the Company. The awards contained a performance-based vesting criteria and included 60,000 share options and 135,000 restricted share units. The performance-based awards had two separate annual performance periods, with 50% of the performance-based awards vesting over each of the annual performance periods ended December 31, 2023 ("First Performance Period") and December 31, 2024 ("Second Performance Period") if the performance goal was met. If the performance goal for that performance period was not met, the performance-based awards did not vest and were forfeited. The performance goal was based on the Company's adjusted earnings per share, as publicly reported by the Company, for each performance period. The method used to measure the fair value of the performance-based awards is consistent with the methods and assumptions used to measure the fair value of time-based share options and RSUs, as described above.</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performance-based awards that vest during the First Performance Period, the Company's Compensation Committee retained the ability to modify the applicable adjusted earnings per share metric. Due to this discretion, the Company determined that the grantee does not have a mutual understanding of the key terms and conditions of the performance-based awards in the First Performance Period, and a grant date will not exist until the Compensation Committee approves the adjusted earnings per share metric for the First Performance Period. As of December 31, 2023, based on the total potential shares that could be earned, there were 62,500 RSUs outstanding for which there is no accounting grant date. Accordingly, no grant date fair value was established and the weighted average grant date fair values calculated above excludes these performance-based share options and performance-based RSUs. The Company remeasured the fair value of the awards at each reporting date until a grant date is achieved, as the service inception date precedes the grant date. As of December 31, 2023, there was $0.4 million in unrecognized pre-tax compensation expense, net of estimated forfeitures, related to unvested performance-based share awards for the First Performance Period, which would have been potentially recognized through the first quarter of 2024 upon achievement of the performance goal. As the performance goal was not met for 2023, 62,500 shares were forfeited as of January 29, 2024.</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Unlike the performance-based awards in the First Performance Period, the Compensation Committee did not have the discretion to modify the applicable adjusted earnings per share metric for performance-based awards that vest during the Second Performance Period. As such, a mutual understanding of the key terms and conditions, and thus a grant date, existed on the date that the performance-based awards were issued by the Company. As of December 31, 2023, based on the total potential shares that could be earned, there were 62,500 RSUs granted. A grant date fair value was established, and the weighted average grant date fair values calculated in the above tables include these performance-based share options and performance-based RSUs. The Company has not recognized any compensation expense on these performance-based awards since the achievement of the performance goal was not probable. As of December 31, 2024, there was $0.5 million in unrecognized pre-tax compensation expense, net of estimated forfeitures, related to these unvested performance-based share awards for the Second Performance Period. As the performance goal was not met for 2024, 37,500 shares were forfeited as of February 4,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share purchase plan</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June 2019, the Company’s Board of Directors adopted, and its shareholders approved, the Employee Share Purchase Plan (“ESPP”). The ESPP was effective on June 25, 2019 and the offering period or purchase period under the ESPP began on January 1, 2021. A total of 1,334,427 shares are available under the ESPP, which includes 550,000 shares originally available, 256,730 additional shares registered on March 24, 2020, 260,345 additional shares registered on March 1, 2021, 267,352 additional shares registered on February 25, 2022, 273,133 additional shares registered on March 1, 2023 and 275,000 additional shares registered on March 18, 2024. The number of shares that will be available for sale under the ESPP will be increased annually on the first day of each fiscal year beginning in 2020, and will be equal to the lowest of: 275,000 shares; 1% of the outstanding shares as of the last day of the immediately preceding fiscal year, or such other amount as the administrator may determine. The purchase price of the shares will be 85% of the lower of the fair market value of our shares on the first trading day of each offering period or on the purchase date.</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$0.6 million of share-based compensation expense related to the ESPP. There were 279,403 and 341,107 shares issued under the ESPP during the six-month offering periods that ended on June 30, 2024 and December 31, 2024, respectively. As management has temporarily suspended the ESPP program as of January 1, 2025, the Company did not recognize any share-based compensation expense or issue any shares under the ESPP for the year ended December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10. Loss per share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Basic net earnings (loss) per share is computed by dividing net income (loss) by the weighted-average number of shares outstanding during the period. Diluted net earnings (loss) per share is computed by giving effect to all potentially dilutive ordinary share equivalents outstanding for the period. For purposes of this calculation, share options, RSUs, and ESPP awards are considered to be ordinary share equivalents but are excluded from the calculation of diluted earnings (loss) per share when including them would have an anti-dilutive effect. Performance-based share awards are only included in the calculation of diluted earnings (loss) per share if the performance metric would have been achieved as of December 31, 2025 if that had been the end of the contingency period. The following table sets forth the computation of basic and diluted net loss per share (in thousands, except for share and per share data):</w:t>
      </w:r>
    </w:p>
    <w:p>
      <w:pPr>
        <w:spacing w:after="0" w:line="74"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0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(74,452)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28,055,746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28,768,492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28,055,746</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28,768,492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4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-299720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-282575</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-299720</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-282575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the computation of diluted loss per share for the years ended December 31, 2023 and 2024, no ordinary share equivalents were excluded because their inclusion would have been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reportable operating segment providing fixed wireless broadband and Wi-Fi networking infrastructure solutions. This segment generates revenue primarily from the sale of hardware products, but also includes revenues from software products, extended warranty and subscription services. The accounting policies for this segment are the same as those described in Note 1. Summary of significant accounting policies.</w:t>
      </w:r>
    </w:p>
    <w:p>
      <w:pPr>
        <w:spacing w:after="0" w:line="68" w:lineRule="exact"/>
        <w:rPr>
          <w:sz w:val="20"/>
          <w:szCs w:val="20"/>
          <w:color w:val="auto"/>
        </w:rPr>
      </w:pPr>
    </w:p>
    <w:p>
      <w:pPr>
        <w:ind w:right="120" w:firstLine="509"/>
        <w:spacing w:after="0" w:line="277" w:lineRule="auto"/>
        <w:rPr>
          <w:sz w:val="20"/>
          <w:szCs w:val="20"/>
          <w:color w:val="auto"/>
        </w:rPr>
      </w:pPr>
      <w:r>
        <w:rPr>
          <w:rFonts w:ascii="Times New Roman" w:cs="Times New Roman" w:eastAsia="Times New Roman" w:hAnsi="Times New Roman"/>
          <w:sz w:val="17"/>
          <w:szCs w:val="17"/>
          <w:color w:val="auto"/>
        </w:rPr>
        <w:t>In its operation of the business, management, including our chief operating decision maker ("CODM"), who is also our Chief Executive Officer ("CEO"), reviews financial information regularly at the consolidated level. Net income (loss) is used as the metric for purposes of allocating resources and evaluating performance. The CODM monitors forecast versus actual net income (loss) for purposes of determining the general health of the Company and assessing the performance of the Company as compared to management's expectations. The Company does not have any intra-entity sales or transfers. Significant expenses reviewed by the CODM include those that are presented in the consolidated statements of operations and comprehensive loss.</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See Note 14. Revenues from contracts with customers for additional information about the Company's revenues by product category and geography.</w:t>
      </w:r>
    </w:p>
    <w:p>
      <w:pPr>
        <w:spacing w:after="0" w:line="12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As the Company operates solely within one segment, total assets, property and equipment, net and software, net are reported at the consolidated level on the consolidated balance sheets. The Company's assets include both current and long-lived assets. As of December 31, 2024 and 2025, segment assets were equal to total consolidated assets included on the consolidated balance sheets of $173.7 million and $137.1 million, respectively.</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long-lived assets, including the Company's property and equipment, software, goodwill, operating lease right-of-use assets and noncurrent assets, but excluding deferred tax assets and investment in subsidiary, recognized on the consolidated balance sheets were located as follows (in thousands):</w:t>
      </w:r>
    </w:p>
    <w:p>
      <w:pPr>
        <w:sectPr>
          <w:pgSz w:w="11900" w:h="16838" w:orient="portrait"/>
          <w:cols w:equalWidth="0" w:num="1">
            <w:col w:w="11240"/>
          </w:cols>
          <w:pgMar w:left="320" w:top="1305" w:right="339" w:bottom="1440" w:gutter="0" w:footer="0" w:header="0"/>
        </w:sectPr>
      </w:pPr>
    </w:p>
    <w:p>
      <w:pPr>
        <w:spacing w:after="0" w:line="115"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7620</wp:posOffset>
            </wp:positionV>
            <wp:extent cx="10287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9"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7620</wp:posOffset>
            </wp:positionV>
            <wp:extent cx="11569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8" w:lineRule="exact"/>
        <w:rPr>
          <w:sz w:val="20"/>
          <w:szCs w:val="20"/>
          <w:color w:val="auto"/>
        </w:rPr>
      </w:pPr>
    </w:p>
    <w:p>
      <w:pPr>
        <w:sectPr>
          <w:pgSz w:w="11900" w:h="16838" w:orient="portrait"/>
          <w:cols w:equalWidth="0" w:num="2">
            <w:col w:w="8980" w:space="720"/>
            <w:col w:w="1540"/>
          </w:cols>
          <w:pgMar w:left="320" w:top="1305"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700" w:type="dxa"/>
            <w:vAlign w:val="bottom"/>
          </w:tcPr>
          <w:p>
            <w:pPr>
              <w:spacing w:after="0"/>
              <w:rPr>
                <w:sz w:val="19"/>
                <w:szCs w:val="19"/>
                <w:color w:val="auto"/>
              </w:rPr>
            </w:pP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300" w:type="dxa"/>
            <w:vAlign w:val="bottom"/>
          </w:tcPr>
          <w:p>
            <w:pPr>
              <w:spacing w:after="0"/>
              <w:rPr>
                <w:sz w:val="19"/>
                <w:szCs w:val="19"/>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120" w:type="dxa"/>
            <w:vAlign w:val="bottom"/>
          </w:tcPr>
          <w:p>
            <w:pPr>
              <w:spacing w:after="0"/>
              <w:rPr>
                <w:sz w:val="19"/>
                <w:szCs w:val="19"/>
                <w:color w:val="auto"/>
              </w:rPr>
            </w:pPr>
          </w:p>
        </w:tc>
      </w:tr>
      <w:tr>
        <w:trPr>
          <w:trHeight w:val="216"/>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Africa</w:t>
            </w:r>
          </w:p>
        </w:tc>
        <w:tc>
          <w:tcPr>
            <w:tcW w:w="37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3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tcPr>
          <w:p>
            <w:pPr>
              <w:spacing w:after="0"/>
              <w:rPr>
                <w:sz w:val="18"/>
                <w:szCs w:val="18"/>
                <w:color w:val="auto"/>
              </w:rPr>
            </w:pPr>
          </w:p>
        </w:tc>
      </w:tr>
      <w:tr>
        <w:trPr>
          <w:trHeight w:val="216"/>
        </w:trPr>
        <w:tc>
          <w:tcPr>
            <w:tcW w:w="3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37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3860" w:type="dxa"/>
            <w:vAlign w:val="bottom"/>
          </w:tcPr>
          <w:p>
            <w:pPr>
              <w:spacing w:after="0"/>
              <w:rPr>
                <w:sz w:val="24"/>
                <w:szCs w:val="24"/>
                <w:color w:val="auto"/>
              </w:rPr>
            </w:pPr>
          </w:p>
        </w:tc>
        <w:tc>
          <w:tcPr>
            <w:tcW w:w="430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F-25</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12" w:name="page113"/>
    <w:bookmarkEnd w:id="112"/>
    <w:p>
      <w:pPr>
        <w:ind w:right="200" w:firstLine="509"/>
        <w:spacing w:after="0" w:line="262" w:lineRule="auto"/>
        <w:rPr>
          <w:sz w:val="20"/>
          <w:szCs w:val="20"/>
          <w:color w:val="auto"/>
        </w:rPr>
      </w:pPr>
      <w:r>
        <w:rPr>
          <w:rFonts w:ascii="Times New Roman" w:cs="Times New Roman" w:eastAsia="Times New Roman" w:hAnsi="Times New Roman"/>
          <w:sz w:val="18"/>
          <w:szCs w:val="18"/>
          <w:color w:val="auto"/>
        </w:rPr>
        <w:t>Depreciation and amortization, impairment, property and equipment additions and capital software additions are reported at the consolidated level on the consolidated statements of cash flows. Additional significant non-cash items include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75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30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inventory excess and obsolescence</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2024 and 2025, income (loss) before income taxes includes the following components (in thousands):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0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(8,245)</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8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(68,061)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(41,077)</w:t>
            </w:r>
          </w:p>
        </w:tc>
      </w:tr>
      <w:tr>
        <w:trPr>
          <w:trHeight w:val="20"/>
        </w:trPr>
        <w:tc>
          <w:tcPr>
            <w:tcW w:w="40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(76,306)</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(36,990)</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2024 and 2025, the provision for income taxes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5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56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(3,801)</w:t>
            </w:r>
          </w:p>
        </w:tc>
        <w:tc>
          <w:tcPr>
            <w:tcW w:w="1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5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8"/>
                <w:szCs w:val="18"/>
                <w:color w:val="auto"/>
              </w:rPr>
            </w:pPr>
          </w:p>
        </w:tc>
      </w:tr>
      <w:tr>
        <w:trPr>
          <w:trHeight w:val="209"/>
        </w:trPr>
        <w:tc>
          <w:tcPr>
            <w:tcW w:w="5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tax provision (benefit)</w:t>
            </w:r>
          </w:p>
        </w:tc>
        <w:tc>
          <w:tcPr>
            <w:tcW w:w="2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FF0FC"/>
          </w:tcPr>
          <w:p>
            <w:pPr>
              <w:spacing w:after="0"/>
              <w:rPr>
                <w:sz w:val="18"/>
                <w:szCs w:val="18"/>
                <w:color w:val="auto"/>
              </w:rPr>
            </w:pPr>
          </w:p>
        </w:tc>
      </w:tr>
      <w:tr>
        <w:trPr>
          <w:trHeight w:val="210"/>
        </w:trPr>
        <w:tc>
          <w:tcPr>
            <w:tcW w:w="5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56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356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5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provision</w:t>
            </w:r>
          </w:p>
        </w:tc>
        <w:tc>
          <w:tcPr>
            <w:tcW w:w="25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(1,854)</w:t>
            </w:r>
          </w:p>
        </w:tc>
        <w:tc>
          <w:tcPr>
            <w:tcW w:w="114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FF0FC"/>
          </w:tcPr>
          <w:p>
            <w:pPr>
              <w:spacing w:after="0"/>
              <w:rPr>
                <w:sz w:val="19"/>
                <w:szCs w:val="19"/>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-873760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further described in Note 1. Description of business and summary of Significant accounting policies, the Company has elected to prospectively adopt the guidance in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 applying the statutory tax rate in the effective income tax rate reconciliation, the Company used the statutory U.S. federal income tax rate of 21% rather than the Cayman Islands zero percent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3" w:name="page114"/>
    <w:bookmarkEnd w:id="113"/>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principal reasons for the difference between the effective income tax rate and the statutory federal income tax rate for the year ended December 31, 2025 in accordance with ASU 2023-09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6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Years ended December 31, 2025</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bottom w:val="single" w:sz="8" w:color="auto"/>
            </w:tcBorders>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21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(7,768)</w:t>
            </w:r>
          </w:p>
        </w:tc>
        <w:tc>
          <w:tcPr>
            <w:tcW w:w="1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 and local income taxes, net of federal</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61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4"/>
                <w:szCs w:val="24"/>
                <w:color w:val="auto"/>
                <w:vertAlign w:val="superscript"/>
              </w:rPr>
              <w:t>(a)</w:t>
            </w:r>
          </w:p>
        </w:tc>
        <w:tc>
          <w:tcPr>
            <w:tcW w:w="10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10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Statutory rate difference between United Kingdom and United States</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(1,770)</w:t>
            </w:r>
          </w:p>
        </w:tc>
        <w:tc>
          <w:tcPr>
            <w:tcW w:w="1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(30.08)%</w:t>
            </w: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0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10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(233)</w:t>
            </w:r>
          </w:p>
        </w:tc>
        <w:tc>
          <w:tcPr>
            <w:tcW w:w="1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(1,403)</w:t>
            </w:r>
          </w:p>
        </w:tc>
        <w:tc>
          <w:tcPr>
            <w:tcW w:w="1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0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6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1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22" w:lineRule="exact"/>
        <w:rPr>
          <w:sz w:val="20"/>
          <w:szCs w:val="20"/>
          <w:color w:val="auto"/>
        </w:rPr>
      </w:pPr>
    </w:p>
    <w:p>
      <w:pPr>
        <w:ind w:left="1220" w:hanging="156"/>
        <w:spacing w:after="0"/>
        <w:tabs>
          <w:tab w:leader="none" w:pos="1220" w:val="left"/>
        </w:tabs>
        <w:numPr>
          <w:ilvl w:val="0"/>
          <w:numId w:val="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State taxes in Illinois, Texas and Virginia made up the majority (greater than 50 percent) of the tax effect in this category</w:t>
      </w:r>
    </w:p>
    <w:p>
      <w:pPr>
        <w:spacing w:after="0" w:line="19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for the year ended December 31, 2024, prior to the adoption of ASU 2023-09, the following reconciliation of differences between the income tax expense computed at the statutory federal income tax rate and per the consolidated statement of operations and comprehensive loss are summarized as follows (in thousands):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at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3120"/>
        <w:spacing w:after="0" w:line="250" w:lineRule="auto"/>
        <w:rPr>
          <w:sz w:val="20"/>
          <w:szCs w:val="20"/>
          <w:color w:val="auto"/>
        </w:rPr>
      </w:pPr>
      <w:r>
        <w:rPr>
          <w:rFonts w:ascii="Times New Roman" w:cs="Times New Roman" w:eastAsia="Times New Roman" w:hAnsi="Times New Roman"/>
          <w:sz w:val="18"/>
          <w:szCs w:val="18"/>
          <w:color w:val="auto"/>
        </w:rPr>
        <w:t>State and local income taxes, net of federal benefit on current year earnings Tax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Valuation allowance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Foreign rate differential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 on non-permanent investment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Foreign derived intangible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to provision and impact of method change (Federal, State and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Tax expense related to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7620</wp:posOffset>
            </wp:positionV>
            <wp:extent cx="129413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4">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78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wp:posOffset>
            </wp:positionV>
            <wp:extent cx="11658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1280" w:hanging="1264"/>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(16,024)</w:t>
      </w:r>
    </w:p>
    <w:p>
      <w:pPr>
        <w:spacing w:after="0" w:line="7" w:lineRule="exact"/>
        <w:rPr>
          <w:rFonts w:ascii="Times New Roman" w:cs="Times New Roman" w:eastAsia="Times New Roman" w:hAnsi="Times New Roman"/>
          <w:sz w:val="18"/>
          <w:szCs w:val="18"/>
          <w:color w:val="auto"/>
        </w:rPr>
      </w:pPr>
    </w:p>
    <w:p>
      <w:pPr>
        <w:ind w:left="1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9" w:lineRule="exact"/>
        <w:rPr>
          <w:rFonts w:ascii="Times New Roman" w:cs="Times New Roman" w:eastAsia="Times New Roman" w:hAnsi="Times New Roman"/>
          <w:sz w:val="18"/>
          <w:szCs w:val="18"/>
          <w:color w:val="auto"/>
        </w:rPr>
      </w:pPr>
    </w:p>
    <w:p>
      <w:pPr>
        <w:ind w:left="1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12,345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(2,454)</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1,508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(278)</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1,203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(199)</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2,730</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25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11658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1380" w:hanging="1364"/>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(1,854)</w:t>
      </w:r>
    </w:p>
    <w:p>
      <w:pPr>
        <w:spacing w:after="0" w:line="235" w:lineRule="exact"/>
        <w:rPr>
          <w:sz w:val="20"/>
          <w:szCs w:val="20"/>
          <w:color w:val="auto"/>
        </w:rPr>
      </w:pPr>
    </w:p>
    <w:p>
      <w:pPr>
        <w:sectPr>
          <w:pgSz w:w="11900" w:h="16838" w:orient="portrait"/>
          <w:cols w:equalWidth="0" w:num="2">
            <w:col w:w="8560" w:space="720"/>
            <w:col w:w="1960"/>
          </w:cols>
          <w:pgMar w:left="320" w:top="1093" w:right="339" w:bottom="1440" w:gutter="0" w:footer="0" w:header="0"/>
          <w:type w:val="continuous"/>
        </w:sectPr>
      </w:pPr>
    </w:p>
    <w:p>
      <w:pPr>
        <w:spacing w:after="0" w:line="9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Foreign rate differential represents the non-U.S. jurisdictions. The country having the greatest impact on the tax rate adjustment line shown in the above table as “foreign rate differential” for the years ended December 31, 2024 and 2025 is the UK where the statutory income tax rate was 25% for 2024, and was 25% for 2025.</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recorded income tax benefit of $1.9 million and a provision for income taxes of $1.5 million for the years ended December 31, 2024 and 2025, with an effective tax rate of 2.4% and (4.2)%, respectively. For the year ended December 31, 2024, the Company's effective tax rate of 2.4% differed from the U.S. statutory rate of 21.0% primarily due to a pretax loss, the net increase in the valuation allowance of $12.3 million, a foreign tax rate differential of $(2.5) million, $2.7 million return to provision adjustment primarily due to a tax method change in the U.S. 2023 tax return related to the tax capitalization of our research and development expenditures, $1.5 million for establishment of a deferred tax liability for withholding tax on non-permanent investment in subsidiaries, a $1.2 million tax expense related to share-based compensation, and a benefit on research and development credits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14" w:name="page115"/>
    <w:bookmarkEnd w:id="114"/>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$(0.3) million. For the year ended December 31, 2025, the Company's effective tax rate of (4.2)% differed from the U.S. statutory rate of 21.0% primarily due to a pretax loss, the net increase in the valuation allowance of $9.5 million, a foreign tax rate differential of ($1.5) million, a $0.9 million tax expense related to share-based compensation, and a benefit on research and development credits of $0.5 million.</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Significant components of the Company's deferred tax assets and liabilities at December 31, 2024 and 2025 were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322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37,162</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45,700</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2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Disallowed interest carryforwards</w:t>
            </w:r>
          </w:p>
        </w:tc>
        <w:tc>
          <w:tcPr>
            <w:tcW w:w="2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r>
      <w:tr>
        <w:trPr>
          <w:trHeight w:val="209"/>
        </w:trPr>
        <w:tc>
          <w:tcPr>
            <w:tcW w:w="5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Subtotal</w:t>
            </w:r>
          </w:p>
        </w:tc>
        <w:tc>
          <w:tcPr>
            <w:tcW w:w="2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64,890</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(50,956)</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(60,467)</w:t>
            </w:r>
          </w:p>
        </w:tc>
      </w:tr>
      <w:tr>
        <w:trPr>
          <w:trHeight w:val="21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6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(3,175)</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 on foreign investments</w:t>
            </w:r>
          </w:p>
        </w:tc>
        <w:tc>
          <w:tcPr>
            <w:tcW w:w="2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(1,760)</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26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Pr>
          <w:p>
            <w:pPr>
              <w:spacing w:after="0"/>
              <w:rPr>
                <w:sz w:val="18"/>
                <w:szCs w:val="18"/>
                <w:color w:val="auto"/>
              </w:rPr>
            </w:pPr>
          </w:p>
        </w:tc>
      </w:tr>
      <w:tr>
        <w:trPr>
          <w:trHeight w:val="22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2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(1,760)</w:t>
            </w: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22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2025, the following table reflects the activity in the Company’s valuation allowance on deferred tax assets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1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38,611</w:t>
            </w:r>
          </w:p>
        </w:tc>
        <w:tc>
          <w:tcPr>
            <w:tcW w:w="12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50,956</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21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00" w:type="dxa"/>
            <w:vAlign w:val="bottom"/>
          </w:tcPr>
          <w:p>
            <w:pPr>
              <w:spacing w:after="0"/>
              <w:rPr>
                <w:sz w:val="18"/>
                <w:szCs w:val="18"/>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valuation allowance on deferred tax assets</w:t>
            </w:r>
          </w:p>
        </w:tc>
        <w:tc>
          <w:tcPr>
            <w:tcW w:w="2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50,956</w:t>
            </w:r>
          </w:p>
        </w:tc>
        <w:tc>
          <w:tcPr>
            <w:tcW w:w="12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60,467</w:t>
            </w:r>
          </w:p>
        </w:tc>
        <w:tc>
          <w:tcPr>
            <w:tcW w:w="100" w:type="dxa"/>
            <w:vAlign w:val="bottom"/>
            <w:shd w:val="clear" w:color="auto" w:fill="CFF0FC"/>
          </w:tcPr>
          <w:p>
            <w:pPr>
              <w:spacing w:after="0"/>
              <w:rPr>
                <w:sz w:val="19"/>
                <w:szCs w:val="19"/>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 in which those temporary differences become deductible. The Company considers projected future taxable income, reversing taxable temporary differences, carryback opportunities, and tax-planning strategies in making this assessment.</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to estimate if sufficient future taxable income will be generated to utilize the existing deferred tax assets before they otherwise expire. Cumulative losses are objective evidence that limit the ability to consider other subjective evidence such as the Company’s projections for future growth.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may be given to subjective evidence such as the Company’s projections for growth.</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the Company maintained a full valuation allowance of $51.0 million on its worldwide deferred tax assets. Due to continued losses in 2025, the Company continued to maintained its full valuation allowance position, which increased by $9.5 million, to $60.5 million, on its deferred tax assets as of December 31, 2025.</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conditions existed that raised substantial doubt about the Company's ability to continue as a going concern within one year after the date the financial statements are issued. As a result, the Company no longer asserts indefinite reinvestment with respect to earnings of foreign subsidiaries. Accordingly, the Company maintains a deferred tax liability for the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5" w:name="page116"/>
    <w:bookmarkEnd w:id="115"/>
    <w:p>
      <w:pPr>
        <w:spacing w:after="0" w:line="258" w:lineRule="auto"/>
        <w:rPr>
          <w:sz w:val="20"/>
          <w:szCs w:val="20"/>
          <w:color w:val="auto"/>
        </w:rPr>
      </w:pPr>
      <w:r>
        <w:rPr>
          <w:rFonts w:ascii="Times New Roman" w:cs="Times New Roman" w:eastAsia="Times New Roman" w:hAnsi="Times New Roman"/>
          <w:sz w:val="18"/>
          <w:szCs w:val="18"/>
          <w:color w:val="auto"/>
        </w:rPr>
        <w:t>outside basis difference of its foreign affiliates and estimated future tax consequences associated with the potential sale of its foreign investments, including applicable foreign withholding taxes and other incremental taxes. As of December 31, 2025, the Company had approximately $33.8 million of undistributed earnings of foreign subsidiaries for which the Company does not assert indefinite reinvestment. As a result, the Company increased the recognized deferred tax liability by $0.3 million, to $1.8 million, which included a charge to income tax expense for 2025. The actual tax costs may differ from the amounts recorded due to changes in tax laws, foreign exchange rates, and other factors, including the timing and manner of repatriation.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gross income tax NOL carryforwards related to its U.S. and international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50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09"/>
        </w:trPr>
        <w:tc>
          <w:tcPr>
            <w:tcW w:w="7740" w:type="dxa"/>
            <w:vAlign w:val="bottom"/>
          </w:tcPr>
          <w:p>
            <w:pPr>
              <w:spacing w:after="0"/>
              <w:rPr>
                <w:sz w:val="18"/>
                <w:szCs w:val="18"/>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4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Unlimited carryforward</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 million</w:t>
            </w:r>
          </w:p>
        </w:tc>
        <w:tc>
          <w:tcPr>
            <w:tcW w:w="18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 million</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10 to 15 year carryforward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million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million</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 year carryforward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million</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million</w:t>
            </w:r>
          </w:p>
        </w:tc>
      </w:tr>
      <w:tr>
        <w:trPr>
          <w:trHeight w:val="432"/>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 has tax credit carryforwards related to research and development.</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97"/>
        </w:trPr>
        <w:tc>
          <w:tcPr>
            <w:tcW w:w="7740" w:type="dxa"/>
            <w:vAlign w:val="bottom"/>
          </w:tcPr>
          <w:p>
            <w:pPr>
              <w:spacing w:after="0"/>
              <w:rPr>
                <w:sz w:val="24"/>
                <w:szCs w:val="24"/>
                <w:color w:val="auto"/>
              </w:rPr>
            </w:pPr>
          </w:p>
        </w:tc>
        <w:tc>
          <w:tcPr>
            <w:tcW w:w="350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09"/>
        </w:trPr>
        <w:tc>
          <w:tcPr>
            <w:tcW w:w="7740" w:type="dxa"/>
            <w:vAlign w:val="bottom"/>
          </w:tcPr>
          <w:p>
            <w:pPr>
              <w:spacing w:after="0"/>
              <w:rPr>
                <w:sz w:val="18"/>
                <w:szCs w:val="18"/>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4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Unlimited carryforward</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million</w:t>
            </w:r>
          </w:p>
        </w:tc>
        <w:tc>
          <w:tcPr>
            <w:tcW w:w="18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million</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 year carryforward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million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million</w:t>
            </w:r>
          </w:p>
        </w:tc>
      </w:tr>
      <w:tr>
        <w:trPr>
          <w:trHeight w:val="414"/>
        </w:trPr>
        <w:tc>
          <w:tcPr>
            <w:tcW w:w="94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Company has gross corporate interest restriction (“CIR”) disallowance carryforwards related to its UK operations.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97"/>
        </w:trPr>
        <w:tc>
          <w:tcPr>
            <w:tcW w:w="7740" w:type="dxa"/>
            <w:vAlign w:val="bottom"/>
          </w:tcPr>
          <w:p>
            <w:pPr>
              <w:spacing w:after="0"/>
              <w:rPr>
                <w:sz w:val="24"/>
                <w:szCs w:val="24"/>
                <w:color w:val="auto"/>
              </w:rPr>
            </w:pPr>
          </w:p>
        </w:tc>
        <w:tc>
          <w:tcPr>
            <w:tcW w:w="350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09"/>
        </w:trPr>
        <w:tc>
          <w:tcPr>
            <w:tcW w:w="7740" w:type="dxa"/>
            <w:vAlign w:val="bottom"/>
          </w:tcPr>
          <w:p>
            <w:pPr>
              <w:spacing w:after="0"/>
              <w:rPr>
                <w:sz w:val="18"/>
                <w:szCs w:val="18"/>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4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Unlimited carryforward</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million</w:t>
            </w:r>
          </w:p>
        </w:tc>
        <w:tc>
          <w:tcPr>
            <w:tcW w:w="18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 million</w:t>
            </w:r>
          </w:p>
        </w:tc>
      </w:tr>
    </w:tbl>
    <w:p>
      <w:pPr>
        <w:spacing w:after="0" w:line="19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 and local jurisdictions and many foreign jurisdictions. The U.S., UK, and India are the main taxing jurisdictions in which the Company operates. The following table presents supplemental cash flow information related to income taxes paid (net of refunds) by jurisdiction for the years ended December 31, 2024 and 2025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58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Years ended December 31, 2025</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40" w:type="dxa"/>
            <w:vAlign w:val="bottom"/>
            <w:gridSpan w:val="3"/>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Alabama</w:t>
            </w:r>
          </w:p>
        </w:tc>
        <w:tc>
          <w:tcPr>
            <w:tcW w:w="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Arizona</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Florida</w:t>
            </w:r>
          </w:p>
        </w:tc>
        <w:tc>
          <w:tcPr>
            <w:tcW w:w="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Illinois</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subtotal</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Columbia</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South Africa</w:t>
            </w:r>
          </w:p>
        </w:tc>
        <w:tc>
          <w:tcPr>
            <w:tcW w:w="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10"/>
        </w:trPr>
        <w:tc>
          <w:tcPr>
            <w:tcW w:w="6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subtotal</w:t>
            </w:r>
          </w:p>
        </w:tc>
        <w:tc>
          <w:tcPr>
            <w:tcW w:w="6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paid for income taxes (net of refunds)</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gridSpan w:val="3"/>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paid for incomes taxes (net of refunds) (prior to ASU 2023-09)</w:t>
            </w:r>
          </w:p>
        </w:tc>
        <w:tc>
          <w:tcPr>
            <w:tcW w:w="202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(713)</w:t>
            </w: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-350520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Open tax years subject to audit vary depending on the tax jurisdiction. In the U.S., as of December 31, 2025, the Company is no longer subject to U.S. federal income tax examinations by tax authorities for years before 2022. In the UK, as of December 31, 2025, the tax returns that are open are for the tax years 2022, 2023 and 2024. In India, the tax returns that are open are for India assessment years 2019 through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its tax positions comply with applicable tax law and intends to vigorously defend its position. However, differing positions on certain issues could be upheld by tax authorities, which could adversely affect the Company’s financial condition and results of operations. The Company does not have any unrecognized tax positions as of December 31, 2024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the fair value for guarantee and indemnification arrangements it issues or modifies, if these arrangements are within the scope of authoritative accounting guidance. In addition, the Company must continue to monitor the conditions that are subject to the guarantees and indemnifications in order to identify if a loss has been incurred. If the Company determines it is probable that a loss has occurred, then any such estimated loss would be recognized under those guarantees and indemnifications and would be recognized in the Company’s consolidated statements of operations and corresponding consolidated balance sheets during that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credit agreement</w:t>
      </w:r>
    </w:p>
    <w:p>
      <w:pPr>
        <w:spacing w:after="0" w:line="22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Amended Credit Agreement contains customary provisions with respect to the consequences of a “Default” or “Event of Default” as defined therein, including a restriction on the ability to access further borrowings as well as other customary rights and remedies available to the lender upon a Default or Event of Default. These include the ability to impose a default rate interest rate, prohibiting us from reinvesting asset sale proceeds, limiting repayment of intercompany debt and investment in non-loan party subsidiaries, limiting acquisitions, certain asset sales and assumption of indebtedness, and acceleration of the outstanding obligations and exercise of other remedies under the Amended Credit Agreement, among other customary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with contract manufacturers and suppliers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purchase components from a variety of suppliers and use contract manufacturers to provide manufacturing services for our products and issue purchase orders for these products and services. As of December 31, 2025, the Company had $28.3 million of open purchase orders with its suppliers and contract manufacturers, expected to be procured within the next year. In addition, during the normal course of business, in order to manage manufacturing lead times and help ensure adequate component supply, we enter into agreements with contract manufacturers and suppliers that allow them to procure inventory based upon criteria as defined by us, such as forecasted demand. The Company may be liable to purchase excess product or aged material from our suppliers following reasonable mitigation efforts. The Company establishes a loss on purchase commitment liability for all product the supplier has procured for which the Company does not expect it will sell. Such loss on purchase commitment liability is included in Accrued liabilities and Other noncurrent liabilities on the Company's consolidated balance sheets, based on the timing of when the liability is expected to be resolved. The Company recorded losses on purchase commitments of $7.4 million and recoveries on purchase commitments of $5.8 million for the years ended December 31, 2024 and 2025, respectively. Including the $28.3 million of open purchase orders noted above, as of December 31, 2025 the Company has $110.2 million of purchase commitments with its contract manufacturers and suppliers, of which $99.3 million is expected to be procured within the next year and $10.8 million within the next five years thereafter.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 offers a standard warranty on its products, with the term depending on the product, and records a liability for the estimated future costs associated with potential warranty claims. The Company’s responsibility under its standard warranty is the repair or replacement of in-warranty defective product, or to credit the purchase price of the defective product, at its discretion, without charge to the customer. The Company’s estimate of future warranty costs is largely based on historical experience factors including product failure rates, material usage, and service delivery cost incurred in correcting product failures. The standard warranty is included in either Other current liabilities or Other noncurrent liabilities on the Company’s consolidated balance sheets, depending on the time period covered by the warranty. The Company also offers an extended warranty for purchase that represents a future performance obligation for the Company. The extended warranty is included in deferred revenues (both current and noncurrent) on the consolidated balance sheets and recognized on a straight-line basis over the term of the extended warranty. The warranty costs are reflected in the Company’s consolidated statements of operations within cost of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generally indemnifies its distributors against claims brought by a third party to the extent any such claim alleges that the Company’s product infringes a patent, copyright or trademark or violates any other proprietary rights of that third party. Although the Company generally tries to limit the maximum amount of potential future liability under its indemnification obligations, in certain agreements this liability may be unlimited. The maximum potential amount of future payments the Company may be required to make under these indemnification agreements is not estimable. The Company did not make any payments under indemnification agreements in 2024 or 2025.</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17" w:name="page118"/>
    <w:bookmarkEnd w:id="117"/>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indemnifies its directors and officers and select key employees, including key employees serving as directors or officers of the Company’s subsidiaries, for certain events or occurrences, subject to certain limits, while the director or officer is or was serving at the Company’s request in such capacity. The term of the indemnification period is for the director’s or officer’s term of service. The Company may terminate the indemnification agreements with its directors, officers or key employees upon the termination of their services as directors or officers of the Company or its subsidiaries, or the termination of activities for which indemnification has been provided, but termination will not affect claims for indemnification related to events occurring prior to the effective date of termination. The maximum amount of potential future indemnification is unlimited; however, the Company has a director and officer insurance policy that limits its exposure. The Company believes the fair value of these indemnification agreements is minimal.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Third parties may from time to time assert legal claims against the Company. The Company records accruals for loss contingencies to the extent that it concludes it is probable that a liability has been incurred and the amount of the related loss can be reasonably estimated. The Company evaluates, on a regular basis, developments in legal proceedings and other matters that could cause a change in amounts recorded. Due to the inherent uncertainty involving legal matters, the ultimate resolution could differ from amounts recorded. There is no pending or threatened legal proceedings to which the Company is a party to, and in the Company’s opinion, is likely to have a material adverse effect on its financial condition or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lawsuit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May 22, 2024, a putative shareholder class action complaint was filed in the United States District Court for the Northern District of Illinois (Hamby v. Cambium Networks Corporation et al, Case No. 1:24-cv-04240) against us and three of our current or former officers. The complaint purported to assert claims under Section 10(b) of the Exchange Act, Exchange Act Rule 10b-5, and Section 20(a) of the Exchange Act, on behalf of persons and entities who acquired our ordinary shares between May 8, 2023 and January 18, 2024 ("Class Period"). The complaint alleged that, during the Class Period, the Company and certain of its executive officers made false and misleading statements and failed to disclose material adverse facts about its business, operations, and prospects in violation of Sections 10(b) (and Rule 10b-5 promulgated thereunder) and 20(a) of the Exchange Act. The plaintiffs sought damages in an unspecified amount. On July 22, 2024, motions were filed on behalf of purported class member shareholders seeking to serve as lead plaintiff. On October 21, 2024, the court approved the appointment of lead plaintiff. On December 4, 2024, plaintiffs filed a voluntary dismissal of the action without prejudice.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product category were as follows (in thousands, except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Point-to-Multi-Point</w:t>
            </w:r>
          </w:p>
        </w:tc>
        <w:tc>
          <w:tcPr>
            <w:tcW w:w="19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73,469</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59,664</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Point-to-Point</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43,106</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Enterprise</w:t>
            </w:r>
          </w:p>
        </w:tc>
        <w:tc>
          <w:tcPr>
            <w:tcW w:w="1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50,282</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53,168</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2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00" w:type="dxa"/>
            <w:vAlign w:val="bottom"/>
            <w:vMerge w:val="continue"/>
            <w:shd w:val="clear" w:color="auto" w:fill="CFF0FC"/>
          </w:tcPr>
          <w:p>
            <w:pPr>
              <w:spacing w:after="0"/>
              <w:rPr>
                <w:sz w:val="19"/>
                <w:szCs w:val="19"/>
                <w:color w:val="auto"/>
              </w:rPr>
            </w:pPr>
          </w:p>
        </w:tc>
        <w:tc>
          <w:tcPr>
            <w:tcW w:w="132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177,286</w:t>
            </w:r>
          </w:p>
        </w:tc>
        <w:tc>
          <w:tcPr>
            <w:tcW w:w="260" w:type="dxa"/>
            <w:vAlign w:val="bottom"/>
            <w:vMerge w:val="continue"/>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159,645</w:t>
            </w:r>
          </w:p>
        </w:tc>
        <w:tc>
          <w:tcPr>
            <w:tcW w:w="26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-903605</wp:posOffset>
            </wp:positionV>
            <wp:extent cx="136525"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136525" cy="13716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-903605</wp:posOffset>
            </wp:positionV>
            <wp:extent cx="137160"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-170815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1111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1111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1111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Company’s products are predominately distributed through a third-party logistics provider in the United States, Netherlands and Vietnam. The Company has determined the geographical distribution of product revenues based upon the ship-to destinations.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geography were as follows (in thousands, except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88"/>
        </w:trPr>
        <w:tc>
          <w:tcPr>
            <w:tcW w:w="3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54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86,914</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76,041</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50,956</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w:t>
            </w:r>
          </w:p>
        </w:tc>
        <w:tc>
          <w:tcPr>
            <w:tcW w:w="2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3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177,286</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159,645</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628"/>
        </w:trPr>
        <w:tc>
          <w:tcPr>
            <w:tcW w:w="322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F-31</w:t>
            </w:r>
          </w:p>
        </w:tc>
        <w:tc>
          <w:tcPr>
            <w:tcW w:w="26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763"/>
        </w:trPr>
        <w:tc>
          <w:tcPr>
            <w:tcW w:w="3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4690110</wp:posOffset>
            </wp:positionH>
            <wp:positionV relativeFrom="paragraph">
              <wp:posOffset>-1812290</wp:posOffset>
            </wp:positionV>
            <wp:extent cx="136525" cy="1365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8">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-1812290</wp:posOffset>
            </wp:positionV>
            <wp:extent cx="137160" cy="1365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9">
                      <a:extLst>
                        <a:ext uri="{28A0092B-C50C-407E-A947-70E740481C1C}"/>
                      </a:extLst>
                    </a:blip>
                    <a:srcRect/>
                    <a:stretch>
                      <a:fillRect/>
                    </a:stretch>
                  </pic:blipFill>
                  <pic:spPr bwMode="auto">
                    <a:xfrm>
                      <a:off x="0" y="0"/>
                      <a:ext cx="137160" cy="13652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-933450</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-916305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-933450</wp:posOffset>
            </wp:positionV>
            <wp:extent cx="1111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-916305</wp:posOffset>
            </wp:positionV>
            <wp:extent cx="1111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-933450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-916305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-933450</wp:posOffset>
            </wp:positionV>
            <wp:extent cx="1117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-916305</wp:posOffset>
            </wp:positionV>
            <wp:extent cx="1117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ind w:left="520"/>
        <w:spacing w:after="0"/>
        <w:rPr>
          <w:sz w:val="20"/>
          <w:szCs w:val="20"/>
          <w:color w:val="auto"/>
        </w:rPr>
      </w:pPr>
      <w:r>
        <w:rPr>
          <w:rFonts w:ascii="Times New Roman" w:cs="Times New Roman" w:eastAsia="Times New Roman" w:hAnsi="Times New Roman"/>
          <w:sz w:val="18"/>
          <w:szCs w:val="18"/>
          <w:color w:val="auto"/>
        </w:rPr>
        <w:t>The following country had revenues greater than 10% of total revenues:</w:t>
      </w:r>
    </w:p>
    <w:p>
      <w:pPr>
        <w:spacing w:after="0" w:line="117"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 $88.6 million for 2024 and $75.6 million for 2025</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Customers with an accounts receivable balance of 10% or greater of total accounts receivable and customers with net revenues of 10% or greater of total revenues are presented below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4"/>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Percentage of Accounts Receivable</w:t>
            </w:r>
          </w:p>
        </w:tc>
      </w:tr>
      <w:tr>
        <w:trPr>
          <w:trHeight w:val="173"/>
        </w:trPr>
        <w:tc>
          <w:tcPr>
            <w:tcW w:w="4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4620" w:type="dxa"/>
            <w:vAlign w:val="bottom"/>
            <w:gridSpan w:val="2"/>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r>
      <w:tr>
        <w:trPr>
          <w:trHeight w:val="209"/>
        </w:trPr>
        <w:tc>
          <w:tcPr>
            <w:tcW w:w="55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Customer A</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Customer B</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percentage is less than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contract balances as of December 31, 2023, 2024 and 2025:</w:t>
      </w:r>
    </w:p>
    <w:p>
      <w:pPr>
        <w:spacing w:after="0" w:line="98"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8"/>
        </w:trPr>
        <w:tc>
          <w:tcPr>
            <w:tcW w:w="4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estimated</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4"/>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losses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60" w:type="dxa"/>
            <w:vAlign w:val="bottom"/>
            <w:shd w:val="clear" w:color="auto" w:fill="CFF0FC"/>
          </w:tcPr>
          <w:p>
            <w:pPr>
              <w:spacing w:after="0"/>
              <w:rPr>
                <w:sz w:val="20"/>
                <w:szCs w:val="20"/>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current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6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60" w:type="dxa"/>
            <w:vAlign w:val="bottom"/>
            <w:shd w:val="clear" w:color="auto" w:fill="CFF0FC"/>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returns</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60" w:type="dxa"/>
            <w:vAlign w:val="bottom"/>
          </w:tcPr>
          <w:p>
            <w:pPr>
              <w:spacing w:after="0"/>
              <w:rPr>
                <w:sz w:val="20"/>
                <w:szCs w:val="20"/>
                <w:color w:val="auto"/>
              </w:rPr>
            </w:pPr>
          </w:p>
        </w:tc>
      </w:tr>
    </w:tbl>
    <w:p>
      <w:pPr>
        <w:spacing w:after="0" w:line="7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Trade accounts receivable include amounts currently due from customers. Amounts are in accordance with contractual terms and are recorded at face amount less an allowance for estimated credit losses.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Deferred revenue consists of amounts due or received from customers in advance of the Company satisfying performance obligations under contractual arrangements, such as software subscriptions and extended warranty. Deferred revenue is classified as current or noncurrent based on the timing of when revenue will be recognized.</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Accrued sales returns is the estimated amount expected to be returned by customer in relation to product exchanges made as part of the Company’s stock rotation program. This amount is included within Other current liabilities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revenue that is expected to be recognized in future periods related to performance obligations included in a contract that are unsatisfied, or partially satisfied, as of the end of a period. As of December 31, 2025, the Company’s remaining performance obligations of $23.0 million, of which $9.8 million is expected to be recognized in 2026, $6.9 million to be recognized in 2027, $4.2 million to be recognized in 2028, with the remaining $2.1 million to be recognized by 2035.</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 recognized during the year ended December 31, 2025 which was previously included in deferred revenues as of December 31, 2024 was $8.6 million. Revenue recognized during the year ended December 31, 2024 which was previously included in deferred revenues as of December 31, 2023 was $8.6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to obtain a contract</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Sales commissions are incremental costs of obtaining a contract. The Company has elected to recognize these expenses as incurred due to the amortization period of these costs being one year or less.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vehicles, and office equipment. Leases with a term of 12 months or less are not recorded on the consolidated balance sheets, and are expensed on a straight-line basis over the lease term.</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Right-of-use (“ROU”) assets and operating lease liabilities are recognized based on the present value of the future minimum lease payments over the lease term at the commencement date. The Company’s lease payments are typically fixed or contain fixed escalators. The Company’s leases typically include certain lock-in periods and renewal options to extend the lease, but when determining the lease term, the Company does not consider options to extend a lease it is not reasonably certain to exercise. The Company elected the practical expedient to not separate the lease and non-lease components of its leases and currently has no leases with options to purchase the leased property.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18"/>
                <w:szCs w:val="18"/>
                <w:color w:val="auto"/>
              </w:rPr>
            </w:pPr>
          </w:p>
        </w:tc>
      </w:tr>
      <w:tr>
        <w:trPr>
          <w:trHeight w:val="216"/>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431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were as follows (in thousands, except lease term and discount rate):</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shd w:val="clear" w:color="auto" w:fill="CFF0FC"/>
          </w:tcPr>
          <w:p>
            <w:pPr>
              <w:spacing w:after="0"/>
              <w:rPr>
                <w:sz w:val="17"/>
                <w:szCs w:val="17"/>
                <w:color w:val="auto"/>
              </w:rPr>
            </w:pPr>
          </w:p>
        </w:tc>
        <w:tc>
          <w:tcPr>
            <w:tcW w:w="2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2"/>
        </w:trPr>
        <w:tc>
          <w:tcPr>
            <w:tcW w:w="2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lease assets</w:t>
            </w: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Operating lease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6,254</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5,650</w:t>
            </w:r>
          </w:p>
        </w:tc>
        <w:tc>
          <w:tcPr>
            <w:tcW w:w="160" w:type="dxa"/>
            <w:vAlign w:val="bottom"/>
          </w:tcPr>
          <w:p>
            <w:pPr>
              <w:spacing w:after="0"/>
              <w:rPr>
                <w:sz w:val="17"/>
                <w:szCs w:val="17"/>
                <w:color w:val="auto"/>
              </w:rPr>
            </w:pPr>
          </w:p>
        </w:tc>
      </w:tr>
      <w:tr>
        <w:trPr>
          <w:trHeight w:val="203"/>
        </w:trPr>
        <w:tc>
          <w:tcPr>
            <w:tcW w:w="2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2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2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60" w:type="dxa"/>
            <w:vAlign w:val="bottom"/>
            <w:shd w:val="clear" w:color="auto" w:fill="CFF0FC"/>
          </w:tcPr>
          <w:p>
            <w:pPr>
              <w:spacing w:after="0"/>
              <w:rPr>
                <w:sz w:val="17"/>
                <w:szCs w:val="17"/>
                <w:color w:val="auto"/>
              </w:rPr>
            </w:pPr>
          </w:p>
        </w:tc>
      </w:tr>
      <w:tr>
        <w:trPr>
          <w:trHeight w:val="181"/>
        </w:trPr>
        <w:tc>
          <w:tcPr>
            <w:tcW w:w="2520" w:type="dxa"/>
            <w:vAlign w:val="bottom"/>
          </w:tcPr>
          <w:p>
            <w:pPr>
              <w:spacing w:after="0"/>
              <w:rPr>
                <w:sz w:val="15"/>
                <w:szCs w:val="15"/>
                <w:color w:val="auto"/>
              </w:rPr>
            </w:pPr>
          </w:p>
        </w:tc>
        <w:tc>
          <w:tcPr>
            <w:tcW w:w="23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rPr>
              <w:t>Noncurrent operating lease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3"/>
        </w:trPr>
        <w:tc>
          <w:tcPr>
            <w:tcW w:w="2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Noncurrent lease liabilities</w:t>
            </w: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8,942</w:t>
            </w:r>
          </w:p>
        </w:tc>
        <w:tc>
          <w:tcPr>
            <w:tcW w:w="24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8,785</w:t>
            </w:r>
          </w:p>
        </w:tc>
        <w:tc>
          <w:tcPr>
            <w:tcW w:w="160" w:type="dxa"/>
            <w:vAlign w:val="bottom"/>
          </w:tcPr>
          <w:p>
            <w:pPr>
              <w:spacing w:after="0"/>
              <w:rPr>
                <w:sz w:val="19"/>
                <w:szCs w:val="19"/>
                <w:color w:val="auto"/>
              </w:rPr>
            </w:pPr>
          </w:p>
        </w:tc>
      </w:tr>
      <w:tr>
        <w:trPr>
          <w:trHeight w:val="182"/>
        </w:trPr>
        <w:tc>
          <w:tcPr>
            <w:tcW w:w="25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7"/>
                <w:szCs w:val="17"/>
                <w:color w:val="auto"/>
              </w:rPr>
              <w:t>Weighted average remaining lease</w:t>
            </w:r>
          </w:p>
        </w:tc>
        <w:tc>
          <w:tcPr>
            <w:tcW w:w="18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224"/>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term (years):</w:t>
            </w:r>
          </w:p>
        </w:tc>
        <w:tc>
          <w:tcPr>
            <w:tcW w:w="18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03"/>
        </w:trPr>
        <w:tc>
          <w:tcPr>
            <w:tcW w:w="2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60" w:type="dxa"/>
            <w:vAlign w:val="bottom"/>
          </w:tcPr>
          <w:p>
            <w:pPr>
              <w:spacing w:after="0"/>
              <w:rPr>
                <w:sz w:val="17"/>
                <w:szCs w:val="17"/>
                <w:color w:val="auto"/>
              </w:rPr>
            </w:pPr>
          </w:p>
        </w:tc>
      </w:tr>
      <w:tr>
        <w:trPr>
          <w:trHeight w:val="203"/>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80" w:type="dxa"/>
            <w:vAlign w:val="bottom"/>
            <w:shd w:val="clear" w:color="auto" w:fill="CFF0FC"/>
          </w:tcPr>
          <w:p>
            <w:pPr>
              <w:spacing w:after="0"/>
              <w:rPr>
                <w:sz w:val="17"/>
                <w:szCs w:val="17"/>
                <w:color w:val="auto"/>
              </w:rPr>
            </w:pPr>
          </w:p>
        </w:tc>
        <w:tc>
          <w:tcPr>
            <w:tcW w:w="2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22"/>
        </w:trPr>
        <w:tc>
          <w:tcPr>
            <w:tcW w:w="2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7.29%</w:t>
            </w:r>
          </w:p>
        </w:tc>
      </w:tr>
    </w:tbl>
    <w:p>
      <w:pPr>
        <w:spacing w:after="0" w:line="2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as part of the Company's impairment review of its long-lived assets, the Company completed a review of is right-of-use operating assets. The income approach was used to determine the fair value of the operating lease right-of-use assets. Current market rents were calculated by investigating the market for lease rates for facilities comparable to the subject properties. The market rents, less any incentives received, are the net effective market rents. The net effective market rents were projected through the end of the current terms for each location and discounted back to present value using a real estate rate of return based on the property to determine the fair values of each location. These fair values were then compared to the carrying value of the operating lease right-of-use asset values as of September 30, 2024. The carrying value was higher than the computed fair value for five of the eleven locations, resulting in a total impairment of $0.1 million. The Company recorded this impairment as of September 30, 2024 and the loss is included in Impairment expense on the consolidated statements of operations and comprehensive loss for the year ended December 31, 2024. There was no further impairment recognized for the year ended December 31, 2025.</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 (in thousands):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lease liabilities</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on operating lease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commencements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current lease terms range from one to thirteen years and may include options to extend the lease by one to five years.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8"/>
          <w:szCs w:val="18"/>
          <w:color w:val="auto"/>
        </w:rPr>
        <w:t>Remaining maturities on lease liabilities at December 31, 2025 is as follows (in thousands):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80" w:type="dxa"/>
            <w:vAlign w:val="bottom"/>
          </w:tcPr>
          <w:p>
            <w:pPr>
              <w:spacing w:after="0"/>
              <w:rPr>
                <w:sz w:val="18"/>
                <w:szCs w:val="18"/>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80" w:type="dxa"/>
            <w:vAlign w:val="bottom"/>
            <w:shd w:val="clear" w:color="auto" w:fill="CFF0FC"/>
          </w:tcPr>
          <w:p>
            <w:pPr>
              <w:spacing w:after="0"/>
              <w:rPr>
                <w:sz w:val="18"/>
                <w:szCs w:val="18"/>
                <w:color w:val="auto"/>
              </w:rPr>
            </w:pPr>
          </w:p>
        </w:tc>
      </w:tr>
      <w:tr>
        <w:trPr>
          <w:trHeight w:val="216"/>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interest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(4,008)</w:t>
            </w:r>
          </w:p>
        </w:tc>
      </w:tr>
      <w:tr>
        <w:trPr>
          <w:trHeight w:val="20"/>
        </w:trPr>
        <w:tc>
          <w:tcPr>
            <w:tcW w:w="3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80" w:type="dxa"/>
            <w:vAlign w:val="bottom"/>
            <w:shd w:val="clear" w:color="auto" w:fill="CFF0FC"/>
          </w:tcPr>
          <w:p>
            <w:pPr>
              <w:spacing w:after="0"/>
              <w:rPr>
                <w:sz w:val="19"/>
                <w:szCs w:val="19"/>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14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Vector Capital Management, LP charged $0.1 million for professional services fees and reimbursement of expenses, of which there was nothing outstanding at December 31, 2024. For the year ended December 31, 2025, Vector Capital Management, LP charged $7 thousand for reimbursement of expenses, of which $3 thousand was due to Vector Capital Management, LP at December 31, 2025.</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Restructuring</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2023, the Company announced and initiated two corporate cost reductions plans, which included a reduction in the Company's workforce, with the first in August 2023 and the second in November 2023, to better align Cambium's cost structure with current economic conditions and position the Company to achieve near-term and long-term targets to maintain profitability, improve cash flow and maintain a strong balance sheet.</w:t>
      </w:r>
    </w:p>
    <w:p>
      <w:pPr>
        <w:spacing w:after="0" w:line="6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Under the November 2023 restructuring plan, as of December 31, 2023, the Company had a restructuring liability of $0.4 million which was included as Accrued liabilities on the Company's consolidated balance sheet. For the year ended December 31, 2024, the Company incurred an additional $1.1 million of costs, mostly for one-time termination costs, and paid $1.4 million, leaving a restructuring liability of $0.1 million as of December 31, 2024, which is included in Accrued liabilities in the Company's consolidated balance sheet. This amount was paid in the first quarter of 2025.</w:t>
      </w:r>
    </w:p>
    <w:p>
      <w:pPr>
        <w:spacing w:after="0" w:line="5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February 2025, the Company announced another corporate cost reduction plan designed to reduce operating costs, including a reduction in the Company's workforce. The decision to execute the plan was made to better align Cambium's cost structure and business activities with the weaker market demand it has been experiencing and to take active measures to accelerate its margin recovery. Under the February 2025 restructuring plan, the Company incurred $1.8 million of costs, mostly related to one-time termination costs, all of which was paid by December 31, 2025.</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reflects the restructuring liability activity for the years ended December 31, 2024 and December 31,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222885</wp:posOffset>
            </wp:positionV>
            <wp:extent cx="596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liability at December 31, 2023</w:t>
            </w:r>
          </w:p>
        </w:tc>
        <w:tc>
          <w:tcPr>
            <w:tcW w:w="34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November 2023 restructuring</w:t>
            </w:r>
          </w:p>
        </w:tc>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paid - November 2023 restructuring</w:t>
            </w:r>
          </w:p>
        </w:tc>
        <w:tc>
          <w:tcPr>
            <w:tcW w:w="3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(1,446)</w:t>
            </w:r>
          </w:p>
        </w:tc>
        <w:tc>
          <w:tcPr>
            <w:tcW w:w="102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4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Restructuring liability at December 31, 2024</w:t>
            </w:r>
          </w:p>
        </w:tc>
        <w:tc>
          <w:tcPr>
            <w:tcW w:w="344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top w:val="single" w:sz="8" w:color="CFF0FC"/>
            </w:tcBorders>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 February 2025 restructuring</w:t>
            </w:r>
          </w:p>
        </w:tc>
        <w:tc>
          <w:tcPr>
            <w:tcW w:w="3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Costs paid - November 2023 restructuring</w:t>
            </w:r>
          </w:p>
        </w:tc>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paid - February 2025 restructuring</w:t>
            </w:r>
          </w:p>
        </w:tc>
        <w:tc>
          <w:tcPr>
            <w:tcW w:w="3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(1,829)</w:t>
            </w:r>
          </w:p>
        </w:tc>
        <w:tc>
          <w:tcPr>
            <w:tcW w:w="1020" w:type="dxa"/>
            <w:vAlign w:val="bottom"/>
          </w:tcPr>
          <w:p>
            <w:pPr>
              <w:spacing w:after="0"/>
              <w:rPr>
                <w:sz w:val="18"/>
                <w:szCs w:val="18"/>
                <w:color w:val="auto"/>
              </w:rPr>
            </w:pPr>
          </w:p>
        </w:tc>
      </w:tr>
      <w:tr>
        <w:trPr>
          <w:trHeight w:val="249"/>
        </w:trPr>
        <w:tc>
          <w:tcPr>
            <w:tcW w:w="1020" w:type="dxa"/>
            <w:vAlign w:val="bottom"/>
          </w:tcPr>
          <w:p>
            <w:pPr>
              <w:spacing w:after="0"/>
              <w:rPr>
                <w:sz w:val="21"/>
                <w:szCs w:val="21"/>
                <w:color w:val="auto"/>
              </w:rPr>
            </w:pPr>
          </w:p>
        </w:tc>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liability at December 31, 2025</w:t>
            </w:r>
          </w:p>
        </w:tc>
        <w:tc>
          <w:tcPr>
            <w:tcW w:w="344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020" w:type="dxa"/>
            <w:vAlign w:val="bottom"/>
          </w:tcPr>
          <w:p>
            <w:pPr>
              <w:spacing w:after="0"/>
              <w:rPr>
                <w:sz w:val="21"/>
                <w:szCs w:val="21"/>
                <w:color w:val="auto"/>
              </w:rPr>
            </w:pPr>
          </w:p>
        </w:tc>
      </w:tr>
      <w:tr>
        <w:trPr>
          <w:trHeight w:val="736"/>
        </w:trPr>
        <w:tc>
          <w:tcPr>
            <w:tcW w:w="10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20" w:type="dxa"/>
            <w:vAlign w:val="bottom"/>
            <w:gridSpan w:val="2"/>
          </w:tcPr>
          <w:p>
            <w:pPr>
              <w:jc w:val="right"/>
              <w:ind w:right="3270"/>
              <w:spacing w:after="0"/>
              <w:rPr>
                <w:sz w:val="20"/>
                <w:szCs w:val="20"/>
                <w:color w:val="auto"/>
              </w:rPr>
            </w:pPr>
            <w:r>
              <w:rPr>
                <w:rFonts w:ascii="Times New Roman" w:cs="Times New Roman" w:eastAsia="Times New Roman" w:hAnsi="Times New Roman"/>
                <w:sz w:val="18"/>
                <w:szCs w:val="18"/>
                <w:color w:val="auto"/>
              </w:rPr>
              <w:t>F-34</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-1704975</wp:posOffset>
            </wp:positionV>
            <wp:extent cx="596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-1148080</wp:posOffset>
            </wp:positionV>
            <wp:extent cx="596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-1002030</wp:posOffset>
            </wp:positionV>
            <wp:extent cx="596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-984885</wp:posOffset>
            </wp:positionV>
            <wp:extent cx="596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Noncompliance</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March 25, 2026, the Company received a written notice that the Nasdaq Hearings Panel (the “Hearings Panel”) had determined to delist the Company's ordinary shares from The Nasdaq Global Market due to the Company's failure to comply with the terms of the Hearings Panel's prior decision. Trading in the Company's ordinary shares was suspended at the open of trading on March 27, 2026. Trading in the Company's ordinary shares under the symbol "CMBMF" on the OTC Expert Market began on March 30, 2026. The Company has appealed this delisting determination.</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had previously received a deficiency letter from the Listing Qualifications Department (the “Staff”) of the Nasdaq Stock Market LLC (“Nasdaq”) on April 10, 2025, notifying the Company that, it had failed to comply with the $1.00 per share minimum bid price requirement for continued inclusion on The Nasdaq Global Market pursuant to Nasdaq Listing Rule 5450(a)(1) (the “Bid Price Rule”). The Company received additional deficiency letters from the Staff on April 16, 2025, May 22, 2025, August 25, 2025 and November 25, 2025, notifying the Company that it was not in compliance with the requirements of Nasdaq Listing Rule 5250(c)(1) (the "Filing Rule") for failure to timely file its Form 10-K for the year ended December 31, 2024 and its Quarterly reports on Form 10-Q for the periods ended March 31, 2025, June 30, 2025 and September 30, 2025, respectively (the “Delinquent Filing”).</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November 11, 2025, the Company presented its plan of compliance before the Nasdaq Hearings Panel and requested a continued stay of its delisting pending achieving full compliance by filing the Delinquent Filings within the time requested under the plan of compliance. On December 3, 2025, the Company received a decision (the “Decision Letter”) from the Hearings Panel granting the Company’s request for continued listing of the Company’s ordinary shares, subject to the Company demonstrating compliance with the Bid Price Rule and the Filing Rule, on or before April 16, 2026, but subject to interim filing dates as set forth in the decision.</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On December 12, 2025, the Company received a partial compliance letter from the Hearings Panel confirming the Company is in compliance with the Bid Price Rule, although it remained non-compliant with the Filing Rule.</w:t>
      </w:r>
    </w:p>
    <w:p>
      <w:pPr>
        <w:spacing w:after="0" w:line="5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On January 9, 2026, the Company received a further determination letter stating that because the Company did not hold an annual meeting of shareholders within twelve months from the Company's prior fiscal year end as required by Nasdaq Listing Rule 5620(a), the resulting non-compliance serves as an additional basis for delisting the Company's securities.</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was unable to meet the interim filing deadlines set forth in the Decision Letter, and requested extensions to the February 6, 2026 interim deadline, with additional extensions requested to March 16, 2026 and to March 23, 2026 were granted by the Hearing Panel.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2" w:name="page123"/>
    <w:bookmarkEnd w:id="122"/>
    <w:p>
      <w:pPr>
        <w:jc w:val="right"/>
        <w:ind w:right="299"/>
        <w:spacing w:after="0"/>
        <w:rPr>
          <w:sz w:val="20"/>
          <w:szCs w:val="20"/>
          <w:color w:val="auto"/>
        </w:rPr>
      </w:pPr>
      <w:r>
        <w:rPr>
          <w:rFonts w:ascii="Times New Roman" w:cs="Times New Roman" w:eastAsia="Times New Roman" w:hAnsi="Times New Roman"/>
          <w:sz w:val="18"/>
          <w:szCs w:val="18"/>
          <w:color w:val="auto"/>
        </w:rPr>
        <w:t>Exhibit 10.48</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CAMBIUM NETWORKS CORPORATION</w:t>
      </w:r>
    </w:p>
    <w:p>
      <w:pPr>
        <w:spacing w:after="0" w:line="21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AGREEMENT FOR THE PAYMENT OF BENEFITS</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b w:val="1"/>
          <w:bCs w:val="1"/>
          <w:color w:val="auto"/>
        </w:rPr>
        <w:t>FOLLOWING TERMINATION OF EMPLOYMENT</w:t>
      </w:r>
    </w:p>
    <w:p>
      <w:pPr>
        <w:spacing w:after="0" w:line="194" w:lineRule="exact"/>
        <w:rPr>
          <w:sz w:val="20"/>
          <w:szCs w:val="20"/>
          <w:color w:val="auto"/>
        </w:rPr>
      </w:pPr>
    </w:p>
    <w:p>
      <w:pPr>
        <w:ind w:left="300" w:right="639" w:firstLine="881"/>
        <w:spacing w:after="0" w:line="264" w:lineRule="auto"/>
        <w:rPr>
          <w:sz w:val="20"/>
          <w:szCs w:val="20"/>
          <w:color w:val="auto"/>
        </w:rPr>
      </w:pPr>
      <w:r>
        <w:rPr>
          <w:rFonts w:ascii="Times New Roman" w:cs="Times New Roman" w:eastAsia="Times New Roman" w:hAnsi="Times New Roman"/>
          <w:sz w:val="19"/>
          <w:szCs w:val="19"/>
          <w:color w:val="auto"/>
        </w:rPr>
        <w:t>AGREEMENT dated as of October 1, 2025 (the “Effective Date”) between Cambium Networks Corporation, an exempted company incorporated with limited liability under the laws of the</w:t>
      </w:r>
    </w:p>
    <w:p>
      <w:pPr>
        <w:ind w:left="300"/>
        <w:spacing w:after="0"/>
        <w:tabs>
          <w:tab w:leader="none" w:pos="4000" w:val="left"/>
        </w:tabs>
        <w:rPr>
          <w:sz w:val="20"/>
          <w:szCs w:val="20"/>
          <w:color w:val="auto"/>
        </w:rPr>
      </w:pPr>
      <w:r>
        <w:rPr>
          <w:rFonts w:ascii="Times New Roman" w:cs="Times New Roman" w:eastAsia="Times New Roman" w:hAnsi="Times New Roman"/>
          <w:sz w:val="20"/>
          <w:szCs w:val="20"/>
          <w:color w:val="auto"/>
        </w:rPr>
        <w:t>Cayman Islands (the “Company”), and [</w:t>
      </w:r>
      <w:r>
        <w:rPr>
          <w:sz w:val="20"/>
          <w:szCs w:val="20"/>
          <w:color w:val="auto"/>
        </w:rPr>
        <w:tab/>
      </w:r>
      <w:r>
        <w:rPr>
          <w:rFonts w:ascii="Times New Roman" w:cs="Times New Roman" w:eastAsia="Times New Roman" w:hAnsi="Times New Roman"/>
          <w:sz w:val="19"/>
          <w:szCs w:val="19"/>
          <w:color w:val="auto"/>
        </w:rPr>
        <w:t>] (the “Employee”).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679" w:firstLine="441"/>
        <w:spacing w:after="0" w:line="254" w:lineRule="auto"/>
        <w:rPr>
          <w:sz w:val="20"/>
          <w:szCs w:val="20"/>
          <w:color w:val="auto"/>
        </w:rPr>
      </w:pPr>
      <w:r>
        <w:rPr>
          <w:rFonts w:ascii="Times New Roman" w:cs="Times New Roman" w:eastAsia="Times New Roman" w:hAnsi="Times New Roman"/>
          <w:sz w:val="20"/>
          <w:szCs w:val="20"/>
          <w:color w:val="auto"/>
        </w:rPr>
        <w:t>WHEREAS, the Company and the Employee desire to enter into this Agreement to set forth the separation benefits to be provided to the Employee in the event that his or her employment terminates under the circumstances described herein.</w:t>
      </w:r>
    </w:p>
    <w:p>
      <w:pPr>
        <w:spacing w:after="0" w:line="174" w:lineRule="exact"/>
        <w:rPr>
          <w:sz w:val="20"/>
          <w:szCs w:val="20"/>
          <w:color w:val="auto"/>
        </w:rPr>
      </w:pPr>
    </w:p>
    <w:p>
      <w:pPr>
        <w:ind w:left="300" w:right="1159" w:firstLine="441"/>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Employee’s continued employment and engagement, the parties agree as follows:</w:t>
      </w:r>
    </w:p>
    <w:p>
      <w:pPr>
        <w:spacing w:after="0" w:line="3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be defined as set forth</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below:</w:t>
      </w:r>
    </w:p>
    <w:p>
      <w:pPr>
        <w:spacing w:after="0" w:line="194" w:lineRule="exact"/>
        <w:rPr>
          <w:sz w:val="20"/>
          <w:szCs w:val="20"/>
          <w:color w:val="auto"/>
        </w:rPr>
      </w:pPr>
    </w:p>
    <w:p>
      <w:pPr>
        <w:ind w:left="2060" w:hanging="472"/>
        <w:spacing w:after="0"/>
        <w:tabs>
          <w:tab w:leader="none" w:pos="20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Firm” shall mean a nationally recognized accounting firm selected by</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Company.</w:t>
      </w:r>
    </w:p>
    <w:p>
      <w:pPr>
        <w:spacing w:after="0" w:line="194" w:lineRule="exact"/>
        <w:rPr>
          <w:sz w:val="20"/>
          <w:szCs w:val="20"/>
          <w:color w:val="auto"/>
        </w:rPr>
      </w:pPr>
    </w:p>
    <w:p>
      <w:pPr>
        <w:ind w:left="300" w:right="339" w:firstLine="1288"/>
        <w:spacing w:after="0" w:line="249" w:lineRule="auto"/>
        <w:tabs>
          <w:tab w:leader="none" w:pos="206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Salary” shall mean the Employee’s annual base salary in effect immediately prior to the Date of Termination, provided that in the event the Base Salary shall have been reduced under circumstances giving rise to Good Reason, then Base Salary shall mean the Employee’s annual base salary in effect immediately prior to such reduction.</w:t>
      </w:r>
    </w:p>
    <w:p>
      <w:pPr>
        <w:spacing w:after="0" w:line="179" w:lineRule="exact"/>
        <w:rPr>
          <w:rFonts w:ascii="Times New Roman" w:cs="Times New Roman" w:eastAsia="Times New Roman" w:hAnsi="Times New Roman"/>
          <w:sz w:val="20"/>
          <w:szCs w:val="20"/>
          <w:color w:val="auto"/>
        </w:rPr>
      </w:pPr>
    </w:p>
    <w:p>
      <w:pPr>
        <w:ind w:left="2060" w:hanging="472"/>
        <w:spacing w:after="0"/>
        <w:tabs>
          <w:tab w:leader="none" w:pos="2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shall mean the Board of Directors of the Company.</w:t>
      </w:r>
    </w:p>
    <w:p>
      <w:pPr>
        <w:spacing w:after="0" w:line="215" w:lineRule="exact"/>
        <w:rPr>
          <w:rFonts w:ascii="Times New Roman" w:cs="Times New Roman" w:eastAsia="Times New Roman" w:hAnsi="Times New Roman"/>
          <w:sz w:val="20"/>
          <w:szCs w:val="20"/>
          <w:color w:val="auto"/>
        </w:rPr>
      </w:pPr>
    </w:p>
    <w:p>
      <w:pPr>
        <w:ind w:left="300" w:right="299" w:firstLine="1288"/>
        <w:spacing w:after="0" w:line="241" w:lineRule="auto"/>
        <w:tabs>
          <w:tab w:leader="none" w:pos="206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shall mean: (i) Employee’s willful and continued failure to substantially perform Employee’s duties to the Company; (ii) Employee’s willful misconduct or gross negligence in the performance of Employee’s duties to the Company; (iii) Employee’s willful failure to perform Employee’s duties to the Company or to follow the lawful directives of the Board or the Chief Executive Officer of the Company (other than as a result of death or disability); (iv) indictment for, conviction of, or pleading of guilty or nolo contendere to, a felony or any crime involving moral turpitude; (v) Employee’s failure to cooperate in any audit or investigation of the business or financial practices of the Company or any of its subsidiaries; (vi) Employee’s performance of any material act of theft, embezzlement, fraud, malfeasance, dishonesty or misappropriation of the Company’s property; or (vii) material breach of any written agreement with the Company, or a material violation of the Company’s written code of conduct or other written policy, including any policy with respect to sexual harassment. No act, or failure to act, on Employee’s part shall be considered “willful” unless it is done, or omitted to be done, by Employee in bad faith or without reasonable belief that Employee’s action or omission was in the best interests of the Company. Following notice by the Company, the Employee shall have 30 days to cure any breaches of 1(d)(i) – 1(d)(vii).</w:t>
      </w:r>
    </w:p>
    <w:p>
      <w:pPr>
        <w:spacing w:after="0" w:line="194" w:lineRule="exact"/>
        <w:rPr>
          <w:rFonts w:ascii="Times New Roman" w:cs="Times New Roman" w:eastAsia="Times New Roman" w:hAnsi="Times New Roman"/>
          <w:sz w:val="20"/>
          <w:szCs w:val="20"/>
          <w:color w:val="auto"/>
        </w:rPr>
      </w:pPr>
    </w:p>
    <w:p>
      <w:pPr>
        <w:ind w:left="2060" w:hanging="472"/>
        <w:spacing w:after="0"/>
        <w:tabs>
          <w:tab w:leader="none" w:pos="2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shall mean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1115695</wp:posOffset>
            </wp:positionV>
            <wp:extent cx="703770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123" w:name="page124"/>
    <w:bookmarkEnd w:id="123"/>
    <w:p>
      <w:pPr>
        <w:ind w:left="300" w:right="359" w:firstLine="1288"/>
        <w:spacing w:after="0" w:line="246" w:lineRule="auto"/>
        <w:tabs>
          <w:tab w:leader="none" w:pos="206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of Termination” shall mean the date that the Employee’s employment with the Company (or any successor) ends, which date shall be specified in the Notice of Termination. Notwithstanding the foregoing, the Employee’s employment shall not be deemed to have been terminated solely as a result of the Employee becoming an employee of any direct or indirect successor to the business or assets of the Company.</w:t>
      </w:r>
    </w:p>
    <w:p>
      <w:pPr>
        <w:spacing w:after="0" w:line="184" w:lineRule="exact"/>
        <w:rPr>
          <w:rFonts w:ascii="Times New Roman" w:cs="Times New Roman" w:eastAsia="Times New Roman" w:hAnsi="Times New Roman"/>
          <w:sz w:val="20"/>
          <w:szCs w:val="20"/>
          <w:color w:val="auto"/>
        </w:rPr>
      </w:pPr>
    </w:p>
    <w:p>
      <w:pPr>
        <w:ind w:left="300" w:right="379" w:firstLine="1288"/>
        <w:spacing w:after="0" w:line="242" w:lineRule="auto"/>
        <w:tabs>
          <w:tab w:leader="none" w:pos="206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“Disability” shall mean the inability of the Employee, with or without a reasonable accommodation, to have performed the Employee’s material duties hereunder due to a physical or mental injury, infirmity or incapacity for one hundred eighty (180) days (including weekends and holidays) in any 365-day period, as determined by the Board in its reasonable discretion. The Employee shall cooperate in all respects with the Company if a question arises as to whether the Employee has become disabled (including, without limitation, submitting to reasonable examinations by one or more medical doctors and other health care specialists selected by the Company and authorizing such medical doctors and other health care specialists to discuss the Employee’s condition with the Company), provided, however, nothing herein shall give the Company the right to terminate Employee prior to discharging its obligations to Employee, if any, under the Family and Medical Leave Act, the Americans with Disabilities Act, or any other applicable law.</w:t>
      </w:r>
    </w:p>
    <w:p>
      <w:pPr>
        <w:spacing w:after="0" w:line="189" w:lineRule="exact"/>
        <w:rPr>
          <w:rFonts w:ascii="Times New Roman" w:cs="Times New Roman" w:eastAsia="Times New Roman" w:hAnsi="Times New Roman"/>
          <w:sz w:val="20"/>
          <w:szCs w:val="20"/>
          <w:color w:val="auto"/>
        </w:rPr>
      </w:pPr>
    </w:p>
    <w:p>
      <w:pPr>
        <w:ind w:left="300" w:right="319" w:firstLine="1288"/>
        <w:spacing w:after="0" w:line="242" w:lineRule="auto"/>
        <w:tabs>
          <w:tab w:leader="none" w:pos="206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 Reason” shall mean the occurrence of any of the following events, without Employee’s express written consent, unless such events are fully corrected in all material respects by the Company within thirty (30) days following written notification by Employee to the Company of the occurrence of one of the reasons set forth below: (i) material diminution in Employee’s Base Salary (other than across the board reductions in Base Salary implemented as part of cost savings measures); (ii) a relocation of Employee’s principal place of employment by more than 25 miles; or (iii) breach of this agreement by the Company. Employee shall provide the Company with a written notice detailing the specific circumstances alleged to constitute Good Reason within ninety (90) days after the first occurrence of such circumstances, and actually terminate employment within thirty (30) days following the expiration of the Company’s thirty (30)-day cure period described above.</w:t>
      </w:r>
    </w:p>
    <w:p>
      <w:pPr>
        <w:spacing w:after="0" w:line="192" w:lineRule="exact"/>
        <w:rPr>
          <w:rFonts w:ascii="Times New Roman" w:cs="Times New Roman" w:eastAsia="Times New Roman" w:hAnsi="Times New Roman"/>
          <w:sz w:val="20"/>
          <w:szCs w:val="20"/>
          <w:color w:val="auto"/>
        </w:rPr>
      </w:pPr>
    </w:p>
    <w:p>
      <w:pPr>
        <w:jc w:val="both"/>
        <w:ind w:left="300" w:right="899" w:firstLine="1288"/>
        <w:spacing w:after="0" w:line="254" w:lineRule="auto"/>
        <w:tabs>
          <w:tab w:leader="none" w:pos="206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Termination” shall mean a written notice which shall indicate the specific termination provision in this Agreement relied upon for the termination of the Employee’s employment and the Date of Termination.</w:t>
      </w:r>
    </w:p>
    <w:p>
      <w:pPr>
        <w:spacing w:after="0" w:line="174" w:lineRule="exact"/>
        <w:rPr>
          <w:rFonts w:ascii="Times New Roman" w:cs="Times New Roman" w:eastAsia="Times New Roman" w:hAnsi="Times New Roman"/>
          <w:sz w:val="20"/>
          <w:szCs w:val="20"/>
          <w:color w:val="auto"/>
        </w:rPr>
      </w:pPr>
    </w:p>
    <w:p>
      <w:pPr>
        <w:ind w:left="300" w:right="439" w:firstLine="1288"/>
        <w:spacing w:after="0" w:line="254" w:lineRule="auto"/>
        <w:tabs>
          <w:tab w:leader="none" w:pos="206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“Qualified Termination Event” shall mean (i) a termination of the Employee’s employment by the Company other than for Cause, death or Disability or (ii) the Employee’s resignation from the Company for Good Reason.</w:t>
      </w:r>
    </w:p>
    <w:p>
      <w:pPr>
        <w:spacing w:after="0" w:line="174" w:lineRule="exact"/>
        <w:rPr>
          <w:rFonts w:ascii="Times New Roman" w:cs="Times New Roman" w:eastAsia="Times New Roman" w:hAnsi="Times New Roman"/>
          <w:sz w:val="20"/>
          <w:szCs w:val="20"/>
          <w:color w:val="auto"/>
        </w:rPr>
      </w:pPr>
    </w:p>
    <w:p>
      <w:pPr>
        <w:ind w:left="300" w:right="299" w:firstLine="640"/>
        <w:spacing w:after="0" w:line="242" w:lineRule="auto"/>
        <w:tabs>
          <w:tab w:leader="none" w:pos="118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Benefits Generally</w:t>
      </w:r>
      <w:r>
        <w:rPr>
          <w:rFonts w:ascii="Times New Roman" w:cs="Times New Roman" w:eastAsia="Times New Roman" w:hAnsi="Times New Roman"/>
          <w:sz w:val="20"/>
          <w:szCs w:val="20"/>
          <w:color w:val="auto"/>
        </w:rPr>
        <w:t>. In the event the Employee’s employment with the Company is terminated for any reason, the Company shall pay or provide to the Employee (i) any earned but unpaid salary, (ii) unpaid expense reimbursements in accordance with Company policy, (iii) accrued but unused vacation or leave entitlement, (iv) any vested benefits the Employee may have under any employee benefit plan of the Company in accordance with the terms and conditions of such employee benefit plan, and (v) in the event the Employee’s employment with the Company is terminated by the Company other than for Cause or by the Employee without Good Reason, any performance cash award under the Company’s annual incentive plan for any fiscal year preceding the year in which the Date of Termination occurs that is earned but unpaid as of the Date of Termination (collectively, the “Accrued Benefits”), within the time required by law but in no event more than sixty (60) days after the Date of Termination or, in the case of the prior year annual cash incentive award, no later than March 15th following the conclusion of the performance year.</w:t>
      </w:r>
    </w:p>
    <w:p>
      <w:pPr>
        <w:spacing w:after="0" w:line="200" w:lineRule="exact"/>
        <w:rPr>
          <w:sz w:val="20"/>
          <w:szCs w:val="20"/>
          <w:color w:val="auto"/>
        </w:rPr>
      </w:pP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563880</wp:posOffset>
            </wp:positionV>
            <wp:extent cx="703770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4" w:name="page125"/>
    <w:bookmarkEnd w:id="124"/>
    <w:p>
      <w:pPr>
        <w:ind w:left="300" w:right="379" w:firstLine="640"/>
        <w:spacing w:after="0" w:line="245" w:lineRule="auto"/>
        <w:tabs>
          <w:tab w:leader="none" w:pos="118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Qualified Termination Event</w:t>
      </w:r>
      <w:r>
        <w:rPr>
          <w:rFonts w:ascii="Times New Roman" w:cs="Times New Roman" w:eastAsia="Times New Roman" w:hAnsi="Times New Roman"/>
          <w:sz w:val="20"/>
          <w:szCs w:val="20"/>
          <w:color w:val="auto"/>
        </w:rPr>
        <w:t>. In the event a Qualified Termination Event occurs with respect to such Employee, in addition to the Accrued Benefits, subject to his or her execution of a general release of claims in favor of the Company and related persons and entities (the “Release”), which shall include provisions relating to confidentiality, return of property, and non-disparagement, and the Release becoming irrevocable, in no event more than sixty (60) days after the Date of Termination, and subject to the Employee complying with this Agreement and the Release, the Company shall:</w:t>
      </w:r>
    </w:p>
    <w:p>
      <w:pPr>
        <w:spacing w:after="0" w:line="184" w:lineRule="exact"/>
        <w:rPr>
          <w:rFonts w:ascii="Times New Roman" w:cs="Times New Roman" w:eastAsia="Times New Roman" w:hAnsi="Times New Roman"/>
          <w:sz w:val="20"/>
          <w:szCs w:val="20"/>
          <w:color w:val="auto"/>
        </w:rPr>
      </w:pPr>
    </w:p>
    <w:p>
      <w:pPr>
        <w:ind w:left="300" w:right="579" w:firstLine="1288"/>
        <w:spacing w:after="0" w:line="249" w:lineRule="auto"/>
        <w:tabs>
          <w:tab w:leader="none" w:pos="206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Employee an amount equal to the Employee’s monthly Base Salary rate, paid monthly for a period of six (6) months following the Date of Termination, with the first payment commencing within sixty (60) days after the Date of Termination and to include the monthly payments that would have been paid between the Date of Termination and first payment;</w:t>
      </w:r>
    </w:p>
    <w:p>
      <w:pPr>
        <w:spacing w:after="0" w:line="179" w:lineRule="exact"/>
        <w:rPr>
          <w:rFonts w:ascii="Times New Roman" w:cs="Times New Roman" w:eastAsia="Times New Roman" w:hAnsi="Times New Roman"/>
          <w:sz w:val="20"/>
          <w:szCs w:val="20"/>
          <w:color w:val="auto"/>
        </w:rPr>
      </w:pPr>
    </w:p>
    <w:p>
      <w:pPr>
        <w:ind w:left="300" w:right="359" w:firstLine="1288"/>
        <w:spacing w:after="0" w:line="254" w:lineRule="auto"/>
        <w:tabs>
          <w:tab w:leader="none" w:pos="2062" w:val="left"/>
        </w:tabs>
        <w:numPr>
          <w:ilvl w:val="2"/>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six-month period commencing on the Date of Termination and if Employee is eligible to elect and elects to continue coverage for Employee and Employee’s spouse and eligible dependents under the Company’s group medical, hospitalization, and dental plans pursuant to the Consolidated Omnibus Budget Reconciliation Act of 1985, as amended (“COBRA”), or similar state law, reimburse Employee on a monthly basis for the difference between the amount Employee pays to effect and continue such coverage under COBRA and the employee contribution amount that active employees of the Company pay for the same or similar coverage (the “COBRA Reimbursements”); provided, however, that (A) Employee shall notify the Company in writing within five days after Employee becomes eligible after the Date of Termination for group medical, hospitalization, or dental plan insurance coverage, if any, through subsequent employment or otherwise and the Company shall have no further obligation to provide the COBRA Reimbursements after Employee becomes eligible for group medical, hospitalization, or dental insurance plan coverage due to subsequent employment or otherwise;</w:t>
      </w:r>
    </w:p>
    <w:p>
      <w:pPr>
        <w:spacing w:after="0" w:line="1" w:lineRule="exact"/>
        <w:rPr>
          <w:rFonts w:ascii="Times New Roman" w:cs="Times New Roman" w:eastAsia="Times New Roman" w:hAnsi="Times New Roman"/>
          <w:sz w:val="19"/>
          <w:szCs w:val="19"/>
          <w:color w:val="auto"/>
        </w:rPr>
      </w:pPr>
    </w:p>
    <w:p>
      <w:pPr>
        <w:ind w:left="300" w:right="339" w:hanging="8"/>
        <w:spacing w:after="0"/>
        <w:tabs>
          <w:tab w:leader="none" w:pos="61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 (or Employee’s spouse) is eligible for Medicare or a similar type of governmental medical benefit, such benefit shall be the primary provider before Company medical benefits are provided; and (C) Employee shall send monthly invoices to the Company reflecting COBRA premiums paid by the last day of the month following the month in which the applicable premiums were paid by Employee and any COBRA Reimbursements due shall be made within fifteen (15) days of receipt of such invoices. For the avoidance of doubt, COBRA Reimbursements shall be taxable and subject to withholding; and</w:t>
      </w:r>
    </w:p>
    <w:p>
      <w:pPr>
        <w:spacing w:after="0" w:line="190" w:lineRule="exact"/>
        <w:rPr>
          <w:rFonts w:ascii="Times New Roman" w:cs="Times New Roman" w:eastAsia="Times New Roman" w:hAnsi="Times New Roman"/>
          <w:sz w:val="20"/>
          <w:szCs w:val="20"/>
          <w:color w:val="auto"/>
        </w:rPr>
      </w:pPr>
    </w:p>
    <w:p>
      <w:pPr>
        <w:ind w:left="300" w:right="499" w:firstLine="1288"/>
        <w:spacing w:after="0" w:line="243" w:lineRule="auto"/>
        <w:tabs>
          <w:tab w:leader="none" w:pos="2062"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Employee a pro-rata portion of the Employee’s performance cash award under the Company’s annual incentive plan for the fiscal year in which the Employee’s termination occurs based on results through the Date of Termination (determined by multiplying the amount of such bonus which would be due for the full fiscal year by a fraction, the numerator of which is the number of days during the fiscal year of termination that the Employee is employed by the Company and the denominator of which is 365) payable at the same time bonuses for such year are paid to other senior executives of the Company (but in any event payable no later than March 15th following the conclusion of the applicable performance year).</w:t>
      </w:r>
    </w:p>
    <w:p>
      <w:pPr>
        <w:spacing w:after="0" w:line="189" w:lineRule="exact"/>
        <w:rPr>
          <w:sz w:val="20"/>
          <w:szCs w:val="20"/>
          <w:color w:val="auto"/>
        </w:rPr>
      </w:pPr>
    </w:p>
    <w:p>
      <w:pPr>
        <w:ind w:left="300" w:right="319"/>
        <w:spacing w:after="0" w:line="249" w:lineRule="auto"/>
        <w:rPr>
          <w:sz w:val="20"/>
          <w:szCs w:val="20"/>
          <w:color w:val="auto"/>
        </w:rPr>
      </w:pPr>
      <w:r>
        <w:rPr>
          <w:rFonts w:ascii="Times New Roman" w:cs="Times New Roman" w:eastAsia="Times New Roman" w:hAnsi="Times New Roman"/>
          <w:sz w:val="20"/>
          <w:szCs w:val="20"/>
          <w:color w:val="auto"/>
        </w:rPr>
        <w:t>Payments and benefits provided in this Section 3 shall be in lieu of any termination or severance payments or benefits for which the Employee may be eligible under any of the plans, policies or programs of the Company or under the Worker Adjustment Retraining Notification Act of 1988 or any similar state statute or regulation.</w:t>
      </w:r>
    </w:p>
    <w:p>
      <w:pPr>
        <w:spacing w:after="0" w:line="180" w:lineRule="exact"/>
        <w:rPr>
          <w:sz w:val="20"/>
          <w:szCs w:val="20"/>
          <w:color w:val="auto"/>
        </w:rPr>
      </w:pPr>
    </w:p>
    <w:p>
      <w:pPr>
        <w:ind w:left="1180" w:hanging="240"/>
        <w:spacing w:after="0"/>
        <w:tabs>
          <w:tab w:leader="none" w:pos="11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Limitation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 w:right="359" w:firstLine="1288"/>
        <w:spacing w:after="0" w:line="274" w:lineRule="auto"/>
        <w:tabs>
          <w:tab w:leader="none" w:pos="2062"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Agreement to the contrary notwithstanding, in the event that the amount of any compensation, payment or distribution by the Company to or for the benefit of the Employee, whether paid or payable or distributed or distributable pursuant to the terms of this Agreement</w:t>
      </w:r>
    </w:p>
    <w:p>
      <w:pPr>
        <w:spacing w:after="0" w:line="200" w:lineRule="exact"/>
        <w:rPr>
          <w:sz w:val="20"/>
          <w:szCs w:val="20"/>
          <w:color w:val="auto"/>
        </w:rPr>
      </w:pP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563880</wp:posOffset>
            </wp:positionV>
            <wp:extent cx="703770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5" w:name="page126"/>
    <w:bookmarkEnd w:id="125"/>
    <w:p>
      <w:pPr>
        <w:ind w:left="300" w:right="299"/>
        <w:spacing w:after="0" w:line="241" w:lineRule="auto"/>
        <w:rPr>
          <w:sz w:val="20"/>
          <w:szCs w:val="20"/>
          <w:color w:val="auto"/>
        </w:rPr>
      </w:pPr>
      <w:r>
        <w:rPr>
          <w:rFonts w:ascii="Times New Roman" w:cs="Times New Roman" w:eastAsia="Times New Roman" w:hAnsi="Times New Roman"/>
          <w:sz w:val="20"/>
          <w:szCs w:val="20"/>
          <w:color w:val="auto"/>
        </w:rPr>
        <w:t>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Employee becomes subject to the excise tax imposed by Section 4999 of the Code; provided that such reduction shall only occur if it would result in the Employee receiving a higher After Tax Amount (as defined below) than the Employee would receive if the Aggregate Payments were not subject to such reduction. In the event of such reduction,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94" w:lineRule="exact"/>
        <w:rPr>
          <w:sz w:val="20"/>
          <w:szCs w:val="20"/>
          <w:color w:val="auto"/>
        </w:rPr>
      </w:pPr>
    </w:p>
    <w:p>
      <w:pPr>
        <w:ind w:left="300" w:right="439" w:firstLine="1288"/>
        <w:spacing w:after="0" w:line="243" w:lineRule="auto"/>
        <w:tabs>
          <w:tab w:leader="none" w:pos="2062"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4, the “After Tax Amount” means the amount of the Aggregate Payments less all federal, state, and local income, excise and employment taxes imposed on the Employee as a result of the Employee’s receipt of the Aggregate Payments. For purposes of determining the After Tax Amount, the Employee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(if any) which could be obtained from deduction of such state and local taxes.</w:t>
      </w:r>
    </w:p>
    <w:p>
      <w:pPr>
        <w:spacing w:after="0" w:line="189" w:lineRule="exact"/>
        <w:rPr>
          <w:rFonts w:ascii="Times New Roman" w:cs="Times New Roman" w:eastAsia="Times New Roman" w:hAnsi="Times New Roman"/>
          <w:sz w:val="20"/>
          <w:szCs w:val="20"/>
          <w:color w:val="auto"/>
        </w:rPr>
      </w:pPr>
    </w:p>
    <w:p>
      <w:pPr>
        <w:ind w:left="300" w:right="519" w:firstLine="1288"/>
        <w:spacing w:after="0" w:line="245" w:lineRule="auto"/>
        <w:tabs>
          <w:tab w:leader="none" w:pos="2062"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as to whether a reduction in the Aggregate Payments shall be made pursuant to Section 4(a) shall be made by the Accounting Firm, which shall provide detailed supporting calculations both to the Company and the Employee within fifteen (15) business days of the Date of Termination, if applicable, or at such earlier time as is reasonably requested by the Company or the Employee. Any determination by the Accounting Firm shall be binding upon the Company and the Employee.</w:t>
      </w:r>
    </w:p>
    <w:p>
      <w:pPr>
        <w:spacing w:after="0" w:line="184" w:lineRule="exact"/>
        <w:rPr>
          <w:rFonts w:ascii="Times New Roman" w:cs="Times New Roman" w:eastAsia="Times New Roman" w:hAnsi="Times New Roman"/>
          <w:sz w:val="20"/>
          <w:szCs w:val="20"/>
          <w:color w:val="auto"/>
        </w:rPr>
      </w:pPr>
    </w:p>
    <w:p>
      <w:pPr>
        <w:ind w:left="300" w:right="559" w:firstLine="640"/>
        <w:spacing w:after="0" w:line="269" w:lineRule="auto"/>
        <w:tabs>
          <w:tab w:leader="none" w:pos="1181"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payments made by the Company under this Agreement shall be subject to any tax or other amounts required to be withheld by the Company under applicable law.</w:t>
      </w:r>
    </w:p>
    <w:p>
      <w:pPr>
        <w:spacing w:after="0" w:line="159" w:lineRule="exact"/>
        <w:rPr>
          <w:rFonts w:ascii="Times New Roman" w:cs="Times New Roman" w:eastAsia="Times New Roman" w:hAnsi="Times New Roman"/>
          <w:sz w:val="20"/>
          <w:szCs w:val="20"/>
          <w:color w:val="auto"/>
        </w:rPr>
      </w:pPr>
    </w:p>
    <w:p>
      <w:pPr>
        <w:ind w:left="1180" w:hanging="240"/>
        <w:spacing w:after="0"/>
        <w:tabs>
          <w:tab w:leader="none" w:pos="11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 w:right="459" w:firstLine="1288"/>
        <w:spacing w:after="0" w:line="256" w:lineRule="auto"/>
        <w:tabs>
          <w:tab w:leader="none" w:pos="2062" w:val="left"/>
        </w:tabs>
        <w:numPr>
          <w:ilvl w:val="2"/>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Agreement to the contrary notwithstanding, if at the time of the Employee’s “separation from service” within the meaning of Section 409A of the Code, the Company determines that the Employee is a “specified employee” within the meaning of Section 409A(a)(2)(B)(i) of the Code, then to the extent any payment or benefit that the Employee becomes entitled to under this Agreement would be considered deferred compensation subject to the twenty (20) percent additional tax imposed pursuant to Section 409A(a) of the Code as a result of the application of Section 409A(a)(2)(B)</w:t>
      </w:r>
    </w:p>
    <w:p>
      <w:pPr>
        <w:ind w:left="300" w:right="319" w:hanging="8"/>
        <w:spacing w:after="0"/>
        <w:tabs>
          <w:tab w:leader="none" w:pos="53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such payment shall not be payable and such benefit shall not be provided until the date that is the earlier of (i) six (6) months and one (1) day after the Employee’s separation from service, or (ii) the Employee’s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200" w:lineRule="exact"/>
        <w:rPr>
          <w:sz w:val="20"/>
          <w:szCs w:val="20"/>
          <w:color w:val="auto"/>
        </w:rPr>
      </w:pP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563880</wp:posOffset>
            </wp:positionV>
            <wp:extent cx="703770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6" w:name="page127"/>
    <w:bookmarkEnd w:id="126"/>
    <w:p>
      <w:pPr>
        <w:ind w:left="300" w:right="339" w:firstLine="1288"/>
        <w:spacing w:after="0" w:line="258" w:lineRule="auto"/>
        <w:tabs>
          <w:tab w:leader="none" w:pos="2062"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intend that this Agreement will be administered in accordance with Section 409A of the Code and that all amounts payable hereunder shall be exempt from Section 409A of the Code to the maximum extent possible, under either the separation pay exemption pursuant to Treasury regulation §1.409A-1(b)(9)(iii) or as short-term deferrals pursuant to Treasury regulation §1.409A-1(b)</w:t>
      </w:r>
    </w:p>
    <w:p>
      <w:pPr>
        <w:ind w:left="300" w:right="359"/>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(4). To the extent that any provision of this Agreement is not exempt from Section 409A of the Code and ambiguous as to its compliance with Section 409A of the Code, the provision shall be read in such a manner to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90" w:lineRule="exact"/>
        <w:rPr>
          <w:rFonts w:ascii="Times New Roman" w:cs="Times New Roman" w:eastAsia="Times New Roman" w:hAnsi="Times New Roman"/>
          <w:sz w:val="19"/>
          <w:szCs w:val="19"/>
          <w:color w:val="auto"/>
        </w:rPr>
      </w:pPr>
    </w:p>
    <w:p>
      <w:pPr>
        <w:ind w:left="300" w:right="519" w:firstLine="1288"/>
        <w:spacing w:after="0" w:line="245" w:lineRule="auto"/>
        <w:tabs>
          <w:tab w:leader="none" w:pos="2062"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payment or benefit described in this Agreement constitutes “non-qualified deferred compensation” under Section 409A of the Code, and to the extent that such payment or benefit is payable upon the Employee’s termination of employment, then such payments or benefits shall be payable only upon the Employee’s “separation from service.” The determination of whether and when a separation from service has occurred shall be made in accordance with the presumptions set forth in Treasury Regulation Section 1.409A-1(h).</w:t>
      </w:r>
    </w:p>
    <w:p>
      <w:pPr>
        <w:spacing w:after="0" w:line="184" w:lineRule="exact"/>
        <w:rPr>
          <w:rFonts w:ascii="Times New Roman" w:cs="Times New Roman" w:eastAsia="Times New Roman" w:hAnsi="Times New Roman"/>
          <w:sz w:val="20"/>
          <w:szCs w:val="20"/>
          <w:color w:val="auto"/>
        </w:rPr>
      </w:pPr>
    </w:p>
    <w:p>
      <w:pPr>
        <w:ind w:left="300" w:right="319" w:firstLine="1288"/>
        <w:spacing w:after="0" w:line="243" w:lineRule="auto"/>
        <w:tabs>
          <w:tab w:leader="none" w:pos="2062"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in-kind benefits provided and expenses eligible for reimbursement under this Agreement shall be provided by the Company or incurred by the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5" w:lineRule="exact"/>
        <w:rPr>
          <w:rFonts w:ascii="Times New Roman" w:cs="Times New Roman" w:eastAsia="Times New Roman" w:hAnsi="Times New Roman"/>
          <w:sz w:val="20"/>
          <w:szCs w:val="20"/>
          <w:color w:val="auto"/>
        </w:rPr>
      </w:pPr>
    </w:p>
    <w:p>
      <w:pPr>
        <w:ind w:left="300" w:right="299" w:firstLine="1288"/>
        <w:spacing w:after="0" w:line="249" w:lineRule="auto"/>
        <w:tabs>
          <w:tab w:leader="none" w:pos="2062"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makes no representation or warranty and shall have no liability to the Employee or any other person if any provisions of this Agreement are determined to constitute deferred compensation subject to Section 409A of the Code but do not satisfy an exemption from, or the conditions of, such Section.</w:t>
      </w:r>
    </w:p>
    <w:p>
      <w:pPr>
        <w:spacing w:after="0" w:line="179" w:lineRule="exact"/>
        <w:rPr>
          <w:rFonts w:ascii="Times New Roman" w:cs="Times New Roman" w:eastAsia="Times New Roman" w:hAnsi="Times New Roman"/>
          <w:sz w:val="20"/>
          <w:szCs w:val="20"/>
          <w:color w:val="auto"/>
        </w:rPr>
      </w:pPr>
    </w:p>
    <w:p>
      <w:pPr>
        <w:ind w:left="1180" w:hanging="240"/>
        <w:spacing w:after="0"/>
        <w:tabs>
          <w:tab w:leader="none" w:pos="11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and Date of Termination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300" w:right="399" w:firstLine="1288"/>
        <w:spacing w:after="0" w:line="254" w:lineRule="auto"/>
        <w:tabs>
          <w:tab w:leader="none" w:pos="206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Termination. A termination of the Employee’s employment shall be communicated by Notice of Termination from the Company to the Employee or vice versa in accordance with this Section 7.</w:t>
      </w:r>
    </w:p>
    <w:p>
      <w:pPr>
        <w:spacing w:after="0" w:line="174" w:lineRule="exact"/>
        <w:rPr>
          <w:rFonts w:ascii="Times New Roman" w:cs="Times New Roman" w:eastAsia="Times New Roman" w:hAnsi="Times New Roman"/>
          <w:sz w:val="20"/>
          <w:szCs w:val="20"/>
          <w:color w:val="auto"/>
        </w:rPr>
      </w:pPr>
    </w:p>
    <w:p>
      <w:pPr>
        <w:ind w:left="300" w:right="319" w:firstLine="1288"/>
        <w:spacing w:after="0" w:line="249" w:lineRule="auto"/>
        <w:tabs>
          <w:tab w:leader="none" w:pos="206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to the Company. Any notices, requests, demands, and other communications provided for by this Agreement shall be sufficient if in writing and delivered in person or sent by registered or certified mail, postage prepaid, to the Employee at the last address the Employee has filed in writing with the Company, or to the Company at the following physical or email address:</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Cambium Networks,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2000 Center Drive, Suite East A401</w:t>
      </w:r>
    </w:p>
    <w:p>
      <w:pPr>
        <w:ind w:left="940"/>
        <w:spacing w:after="0"/>
        <w:rPr>
          <w:sz w:val="20"/>
          <w:szCs w:val="20"/>
          <w:color w:val="auto"/>
        </w:rPr>
      </w:pPr>
      <w:r>
        <w:rPr>
          <w:rFonts w:ascii="Times New Roman" w:cs="Times New Roman" w:eastAsia="Times New Roman" w:hAnsi="Times New Roman"/>
          <w:sz w:val="20"/>
          <w:szCs w:val="20"/>
          <w:color w:val="auto"/>
        </w:rPr>
        <w:t>Hoffman Estates, Illinois 60192</w:t>
      </w:r>
    </w:p>
    <w:p>
      <w:pPr>
        <w:ind w:left="94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200" w:lineRule="exact"/>
        <w:rPr>
          <w:sz w:val="20"/>
          <w:szCs w:val="20"/>
          <w:color w:val="auto"/>
        </w:rPr>
      </w:pP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563880</wp:posOffset>
            </wp:positionV>
            <wp:extent cx="703770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7" w:name="page128"/>
    <w:bookmarkEnd w:id="127"/>
    <w:p>
      <w:pPr>
        <w:ind w:left="300" w:right="519" w:firstLine="640"/>
        <w:spacing w:after="0" w:line="269" w:lineRule="auto"/>
        <w:tabs>
          <w:tab w:leader="none" w:pos="118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Mitigation</w:t>
      </w:r>
      <w:r>
        <w:rPr>
          <w:rFonts w:ascii="Times New Roman" w:cs="Times New Roman" w:eastAsia="Times New Roman" w:hAnsi="Times New Roman"/>
          <w:sz w:val="20"/>
          <w:szCs w:val="20"/>
          <w:color w:val="auto"/>
        </w:rPr>
        <w:t>. The Employee is not required to seek other employment or to attempt in any way to reduce any amounts payable to the Employee by the Company under this Agreement.</w:t>
      </w:r>
    </w:p>
    <w:p>
      <w:pPr>
        <w:spacing w:after="0" w:line="159" w:lineRule="exact"/>
        <w:rPr>
          <w:rFonts w:ascii="Times New Roman" w:cs="Times New Roman" w:eastAsia="Times New Roman" w:hAnsi="Times New Roman"/>
          <w:sz w:val="20"/>
          <w:szCs w:val="20"/>
          <w:color w:val="auto"/>
        </w:rPr>
      </w:pPr>
    </w:p>
    <w:p>
      <w:pPr>
        <w:ind w:left="300" w:right="439" w:firstLine="640"/>
        <w:spacing w:after="0" w:line="245" w:lineRule="auto"/>
        <w:tabs>
          <w:tab w:leader="none" w:pos="118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 and Burdens</w:t>
      </w:r>
      <w:r>
        <w:rPr>
          <w:rFonts w:ascii="Times New Roman" w:cs="Times New Roman" w:eastAsia="Times New Roman" w:hAnsi="Times New Roman"/>
          <w:sz w:val="20"/>
          <w:szCs w:val="20"/>
          <w:color w:val="auto"/>
        </w:rPr>
        <w:t>. This Agreement shall inure to the benefit of and be binding upon the Company and the Employee, their respective successors, executors, administrators, heirs and permitted assigns. In the event of the Employee’s death after a termination of employment but prior to the completion by the Company of all payments due to him or her under this Agreement, the Company shall continue such payments to the Employee’s beneficiary designated in writing to the Company prior to his or her death (or to his or her estate, if the Employee fails to make such designation).</w:t>
      </w:r>
    </w:p>
    <w:p>
      <w:pPr>
        <w:spacing w:after="0" w:line="184" w:lineRule="exact"/>
        <w:rPr>
          <w:sz w:val="20"/>
          <w:szCs w:val="20"/>
          <w:color w:val="auto"/>
        </w:rPr>
      </w:pPr>
    </w:p>
    <w:p>
      <w:pPr>
        <w:ind w:left="300" w:right="359" w:firstLine="648"/>
        <w:spacing w:after="0" w:line="246"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5" w:lineRule="exact"/>
        <w:rPr>
          <w:sz w:val="20"/>
          <w:szCs w:val="20"/>
          <w:color w:val="auto"/>
        </w:rPr>
      </w:pPr>
    </w:p>
    <w:p>
      <w:pPr>
        <w:ind w:left="300" w:right="379" w:firstLine="648"/>
        <w:spacing w:after="0" w:line="266" w:lineRule="auto"/>
        <w:rPr>
          <w:sz w:val="20"/>
          <w:szCs w:val="20"/>
          <w:color w:val="auto"/>
        </w:rPr>
      </w:pPr>
      <w:r>
        <w:rPr>
          <w:rFonts w:ascii="Times New Roman" w:cs="Times New Roman" w:eastAsia="Times New Roman" w:hAnsi="Times New Roman"/>
          <w:sz w:val="19"/>
          <w:szCs w:val="19"/>
          <w:color w:val="auto"/>
        </w:rPr>
        <w:t>11.</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65" w:lineRule="exact"/>
        <w:rPr>
          <w:sz w:val="20"/>
          <w:szCs w:val="20"/>
          <w:color w:val="auto"/>
        </w:rPr>
      </w:pPr>
    </w:p>
    <w:p>
      <w:pPr>
        <w:ind w:left="300" w:right="419" w:firstLine="648"/>
        <w:spacing w:after="0" w:line="266" w:lineRule="auto"/>
        <w:rPr>
          <w:sz w:val="20"/>
          <w:szCs w:val="20"/>
          <w:color w:val="auto"/>
        </w:rPr>
      </w:pPr>
      <w:r>
        <w:rPr>
          <w:rFonts w:ascii="Times New Roman" w:cs="Times New Roman" w:eastAsia="Times New Roman" w:hAnsi="Times New Roman"/>
          <w:sz w:val="19"/>
          <w:szCs w:val="19"/>
          <w:color w:val="auto"/>
        </w:rPr>
        <w:t>12.</w:t>
      </w:r>
      <w:r>
        <w:rPr>
          <w:rFonts w:ascii="Times New Roman" w:cs="Times New Roman" w:eastAsia="Times New Roman" w:hAnsi="Times New Roman"/>
          <w:sz w:val="19"/>
          <w:szCs w:val="19"/>
          <w:u w:val="single" w:color="auto"/>
          <w:color w:val="auto"/>
        </w:rPr>
        <w:t>Non-Duplication of Benefits and Effect on Other Plans</w:t>
      </w:r>
      <w:r>
        <w:rPr>
          <w:rFonts w:ascii="Times New Roman" w:cs="Times New Roman" w:eastAsia="Times New Roman" w:hAnsi="Times New Roman"/>
          <w:sz w:val="19"/>
          <w:szCs w:val="19"/>
          <w:color w:val="auto"/>
        </w:rPr>
        <w:t>. Notwithstanding any other provision in this Agreement to the contrary, the benefits provided hereunder shall be in lieu of any other severance payments and/or benefits provided by the Company, including any such payments and/or benefits pursuant to an employment agreement or offer letter between the Company and the Employee.</w:t>
      </w:r>
    </w:p>
    <w:p>
      <w:pPr>
        <w:spacing w:after="0" w:line="165" w:lineRule="exact"/>
        <w:rPr>
          <w:sz w:val="20"/>
          <w:szCs w:val="20"/>
          <w:color w:val="auto"/>
        </w:rPr>
      </w:pPr>
    </w:p>
    <w:p>
      <w:pPr>
        <w:ind w:left="300" w:right="459" w:firstLine="648"/>
        <w:spacing w:after="0" w:line="254" w:lineRule="auto"/>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u w:val="single" w:color="auto"/>
          <w:color w:val="auto"/>
        </w:rPr>
        <w:t>No Contract of Employment</w:t>
      </w:r>
      <w:r>
        <w:rPr>
          <w:rFonts w:ascii="Times New Roman" w:cs="Times New Roman" w:eastAsia="Times New Roman" w:hAnsi="Times New Roman"/>
          <w:sz w:val="20"/>
          <w:szCs w:val="20"/>
          <w:color w:val="auto"/>
        </w:rPr>
        <w:t>. Nothing in this Agreement shall be construed as giving any Employee any right to be retained in the employ of the Company or shall affect the terms and conditions of the Employee’s employment with the Company.</w:t>
      </w:r>
    </w:p>
    <w:p>
      <w:pPr>
        <w:spacing w:after="0" w:line="1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14.</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parties may amend this Agreement by written agreement between the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parties.</w:t>
      </w:r>
    </w:p>
    <w:p>
      <w:pPr>
        <w:spacing w:after="0" w:line="194" w:lineRule="exact"/>
        <w:rPr>
          <w:sz w:val="20"/>
          <w:szCs w:val="20"/>
          <w:color w:val="auto"/>
        </w:rPr>
      </w:pPr>
    </w:p>
    <w:p>
      <w:pPr>
        <w:ind w:left="300" w:right="439" w:firstLine="648"/>
        <w:spacing w:after="0" w:line="269" w:lineRule="auto"/>
        <w:rPr>
          <w:sz w:val="20"/>
          <w:szCs w:val="20"/>
          <w:color w:val="auto"/>
        </w:rPr>
      </w:pPr>
      <w:r>
        <w:rPr>
          <w:rFonts w:ascii="Times New Roman" w:cs="Times New Roman" w:eastAsia="Times New Roman" w:hAnsi="Times New Roman"/>
          <w:sz w:val="20"/>
          <w:szCs w:val="20"/>
          <w:color w:val="auto"/>
        </w:rPr>
        <w:t>15.</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under and be governed in all respects by the laws of the State of Illinois, without giving effect to the conflict of laws principles.</w:t>
      </w:r>
    </w:p>
    <w:p>
      <w:pPr>
        <w:spacing w:after="0" w:line="159" w:lineRule="exact"/>
        <w:rPr>
          <w:sz w:val="20"/>
          <w:szCs w:val="20"/>
          <w:color w:val="auto"/>
        </w:rPr>
      </w:pPr>
    </w:p>
    <w:p>
      <w:pPr>
        <w:ind w:left="300" w:right="399" w:firstLine="648"/>
        <w:spacing w:after="0" w:line="246" w:lineRule="auto"/>
        <w:rPr>
          <w:sz w:val="20"/>
          <w:szCs w:val="20"/>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20"/>
          <w:szCs w:val="20"/>
          <w:u w:val="single" w:color="auto"/>
          <w:color w:val="auto"/>
        </w:rPr>
        <w:t>Obligations of Successors</w:t>
      </w:r>
      <w:r>
        <w:rPr>
          <w:rFonts w:ascii="Times New Roman" w:cs="Times New Roman" w:eastAsia="Times New Roman" w:hAnsi="Times New Roman"/>
          <w:sz w:val="20"/>
          <w:szCs w:val="20"/>
          <w:color w:val="auto"/>
        </w:rPr>
        <w:t>. In addition to any obligations imposed by law upon any successor to the Company, any successor (whether direct or indirect, by purchase, merger, consolidation or otherwise) to all or substantially all of the business or assets of the Company shall expressly assume and agree to perform this Agreement in the same manner and to the same extent that the Company would be required to perform if no such succession had taken place.</w:t>
      </w:r>
    </w:p>
    <w:p>
      <w:pPr>
        <w:spacing w:after="0" w:line="185" w:lineRule="exact"/>
        <w:rPr>
          <w:sz w:val="20"/>
          <w:szCs w:val="20"/>
          <w:color w:val="auto"/>
        </w:rPr>
      </w:pPr>
    </w:p>
    <w:p>
      <w:pPr>
        <w:ind w:left="300" w:right="359" w:firstLine="648"/>
        <w:spacing w:after="0" w:line="243" w:lineRule="auto"/>
        <w:rPr>
          <w:sz w:val="20"/>
          <w:szCs w:val="20"/>
          <w:color w:val="auto"/>
        </w:rPr>
      </w:pPr>
      <w:r>
        <w:rPr>
          <w:rFonts w:ascii="Times New Roman" w:cs="Times New Roman" w:eastAsia="Times New Roman" w:hAnsi="Times New Roman"/>
          <w:sz w:val="20"/>
          <w:szCs w:val="20"/>
          <w:color w:val="auto"/>
        </w:rPr>
        <w:t>17.</w:t>
      </w:r>
      <w:r>
        <w:rPr>
          <w:rFonts w:ascii="Times New Roman" w:cs="Times New Roman" w:eastAsia="Times New Roman" w:hAnsi="Times New Roman"/>
          <w:sz w:val="20"/>
          <w:szCs w:val="20"/>
          <w:u w:val="single" w:color="auto"/>
          <w:color w:val="auto"/>
        </w:rPr>
        <w:t>Protected Rights</w:t>
      </w:r>
      <w:r>
        <w:rPr>
          <w:rFonts w:ascii="Times New Roman" w:cs="Times New Roman" w:eastAsia="Times New Roman" w:hAnsi="Times New Roman"/>
          <w:sz w:val="20"/>
          <w:szCs w:val="20"/>
          <w:color w:val="auto"/>
        </w:rPr>
        <w:t>. Nothing in this Agreement or otherwise is intended to, or does, prohibit the Employee from (i) filing a charge or complaint with, providing truthful information to, or cooperating with an investigation being conducted by a governmental agency (such as the Equal Employment Opportunity Commission, another other fair employment practices agency, the National Labor Relations Board, the Department of Labor, or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(ii) engaging in other legally-protected activities; (iii) giving truthful testimony or making statements under oath in response to a subpoena or other valid legal process or in any legal proceeding; (iv) otherwise making truthful statements as required by law or valid legal process; or (v) disclosing a trade secret in confidence to a governmental official, directly or indirectly, or to an attorney, if the</w:t>
      </w:r>
    </w:p>
    <w:p>
      <w:pPr>
        <w:spacing w:after="0" w:line="200" w:lineRule="exact"/>
        <w:rPr>
          <w:sz w:val="20"/>
          <w:szCs w:val="20"/>
          <w:color w:val="auto"/>
        </w:rPr>
      </w:pP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563880</wp:posOffset>
            </wp:positionV>
            <wp:extent cx="703770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8" w:name="page129"/>
    <w:bookmarkEnd w:id="128"/>
    <w:p>
      <w:pPr>
        <w:ind w:left="300" w:right="339"/>
        <w:spacing w:after="0" w:line="255" w:lineRule="auto"/>
        <w:rPr>
          <w:sz w:val="20"/>
          <w:szCs w:val="20"/>
          <w:color w:val="auto"/>
        </w:rPr>
      </w:pPr>
      <w:r>
        <w:rPr>
          <w:rFonts w:ascii="Times New Roman" w:cs="Times New Roman" w:eastAsia="Times New Roman" w:hAnsi="Times New Roman"/>
          <w:sz w:val="19"/>
          <w:szCs w:val="19"/>
          <w:color w:val="auto"/>
        </w:rPr>
        <w:t>disclosure is made solely for the purpose of reporting or investigating a suspected violation of law. Accordingly, the Employee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the event the Employee files a lawsuit for retaliation by the Company for reporting a suspected violation of law, the Employee may disclose the trade secret(s) of the Company to his attorney and use the trade secret information in the court proceeding, if the Employee (i) files any document containing the trade secret under seal; and (ii) does not disclose the trade secret, except pursuant to court order. In accordance with applicable law, and notwithstanding any other provision of this Agreement, nothing in this Agreement or any of any policies or agreements of the Company or any affiliate applicable to the Employee (i) impedes the Employee’s right to communicate with the SEC or any other governmental agency about possible violations of federal securities or other laws or regulations or (ii) requires the Employee to provide any prior notice to the Company or its affiliates or obtain their prior approval before engaging in any such communications.</w:t>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18.</w:t>
      </w:r>
      <w:r>
        <w:rPr>
          <w:rFonts w:ascii="Times New Roman" w:cs="Times New Roman" w:eastAsia="Times New Roman" w:hAnsi="Times New Roman"/>
          <w:sz w:val="20"/>
          <w:szCs w:val="20"/>
          <w:u w:val="single" w:color="auto"/>
          <w:color w:val="auto"/>
        </w:rPr>
        <w:t>Miscellaneous.</w:t>
      </w:r>
    </w:p>
    <w:p>
      <w:pPr>
        <w:spacing w:after="0" w:line="216" w:lineRule="exact"/>
        <w:rPr>
          <w:sz w:val="20"/>
          <w:szCs w:val="20"/>
          <w:color w:val="auto"/>
        </w:rPr>
      </w:pPr>
    </w:p>
    <w:p>
      <w:pPr>
        <w:ind w:left="300" w:right="519" w:firstLine="1288"/>
        <w:spacing w:after="0" w:line="269" w:lineRule="auto"/>
        <w:tabs>
          <w:tab w:leader="none" w:pos="206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of this Agreement are included for convenience and shall not affect the meaning or interpretation of this Agreement.</w:t>
      </w:r>
    </w:p>
    <w:p>
      <w:pPr>
        <w:spacing w:after="0" w:line="159" w:lineRule="exact"/>
        <w:rPr>
          <w:rFonts w:ascii="Times New Roman" w:cs="Times New Roman" w:eastAsia="Times New Roman" w:hAnsi="Times New Roman"/>
          <w:sz w:val="20"/>
          <w:szCs w:val="20"/>
          <w:color w:val="auto"/>
        </w:rPr>
      </w:pPr>
    </w:p>
    <w:p>
      <w:pPr>
        <w:ind w:left="300" w:right="719" w:firstLine="1288"/>
        <w:spacing w:after="0" w:line="269" w:lineRule="auto"/>
        <w:tabs>
          <w:tab w:leader="none" w:pos="206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invalidity of unenforceability of one or more provisions of this Agreement shall not affect the enforceability of any other provision of this Agreement.</w:t>
      </w:r>
    </w:p>
    <w:p>
      <w:pPr>
        <w:spacing w:after="0" w:line="159" w:lineRule="exact"/>
        <w:rPr>
          <w:rFonts w:ascii="Times New Roman" w:cs="Times New Roman" w:eastAsia="Times New Roman" w:hAnsi="Times New Roman"/>
          <w:sz w:val="20"/>
          <w:szCs w:val="20"/>
          <w:color w:val="auto"/>
        </w:rPr>
      </w:pPr>
    </w:p>
    <w:p>
      <w:pPr>
        <w:ind w:left="300" w:right="659" w:firstLine="1288"/>
        <w:spacing w:after="0" w:line="269" w:lineRule="auto"/>
        <w:tabs>
          <w:tab w:leader="none" w:pos="206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each of which shall be deemed an original, and such counterparts will together constitute one Agreement.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563880</wp:posOffset>
            </wp:positionV>
            <wp:extent cx="703770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9" w:name="page130"/>
    <w:bookmarkEnd w:id="129"/>
    <w:p>
      <w:pPr>
        <w:ind w:firstLine="509"/>
        <w:spacing w:after="0" w:line="269" w:lineRule="auto"/>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a duly authorized officer and attested to and the Employee has set his or her hand as of the date first above written.</w:t>
      </w:r>
    </w:p>
    <w:p>
      <w:pPr>
        <w:spacing w:after="0" w:line="200" w:lineRule="exact"/>
        <w:rPr>
          <w:sz w:val="20"/>
          <w:szCs w:val="20"/>
          <w:color w:val="auto"/>
        </w:rPr>
      </w:pPr>
    </w:p>
    <w:p>
      <w:pPr>
        <w:spacing w:after="0" w:line="20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CAMBIUM NETWORKS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640080</wp:posOffset>
            </wp:positionV>
            <wp:extent cx="329184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Morgan Kurk</w:t>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640080</wp:posOffset>
            </wp:positionV>
            <wp:extent cx="329184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i w:val="1"/>
          <w:iCs w:val="1"/>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Morgan C. Kurk, certify that:</w:t>
      </w:r>
    </w:p>
    <w:p>
      <w:pPr>
        <w:spacing w:after="0" w:line="225"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Cambium Networks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560" w:val="left"/>
          <w:tab w:leader="none" w:pos="782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40296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2">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2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Morgan C. Kurk</w:t>
      </w:r>
    </w:p>
    <w:p>
      <w:pPr>
        <w:spacing w:after="0" w:line="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Cohen, certify that:</w:t>
      </w:r>
    </w:p>
    <w:p>
      <w:pPr>
        <w:spacing w:after="0" w:line="225"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Cambium Networks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560" w:val="left"/>
          <w:tab w:leader="none" w:pos="784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40296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1"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Mitchell Cohen</w:t>
      </w:r>
    </w:p>
    <w:p>
      <w:pPr>
        <w:spacing w:after="0" w:line="9"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Cambium Networks Corporation (the “Company”) on Form 10-K for the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20" w:val="left"/>
          <w:tab w:leader="none" w:pos="792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Morgan C. Kurk</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Cambium Networks Corporation (the “Company”) on Form 10-K for the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20" w:val="left"/>
          <w:tab w:leader="none" w:pos="794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Mitchell Cohen</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CAMBIUM NETWORKS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RECOUPMENT OF INCENTIVE COMPENSATION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w:t>
      </w:r>
    </w:p>
    <w:p>
      <w:pPr>
        <w:spacing w:after="0" w:line="237"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Cambium Networks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Policy on Recoupment of Incentive Compensation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provides for the recoupment of compensation in certain circumstances in the event of a restatement of financial results by the Company. This Policy shall be interpreted to comply with the requirements of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rules and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listing standards implementing Section 954 of the Dodd-Frank Wall Street Reform and Consumer Protection Act of 2010 (the “</w:t>
      </w:r>
      <w:r>
        <w:rPr>
          <w:rFonts w:ascii="Times New Roman" w:cs="Times New Roman" w:eastAsia="Times New Roman" w:hAnsi="Times New Roman"/>
          <w:sz w:val="22"/>
          <w:szCs w:val="22"/>
          <w:u w:val="single" w:color="auto"/>
          <w:color w:val="auto"/>
        </w:rPr>
        <w:t>Dodd-Frank Act</w:t>
      </w:r>
      <w:r>
        <w:rPr>
          <w:rFonts w:ascii="Times New Roman" w:cs="Times New Roman" w:eastAsia="Times New Roman" w:hAnsi="Times New Roman"/>
          <w:sz w:val="22"/>
          <w:szCs w:val="22"/>
          <w:color w:val="auto"/>
        </w:rPr>
        <w:t>”) and, to the extent this Policy is in any manner deemed inconsistent with such rules, this Policy shall be treated as retroactively amended to be compliant with such rules.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7"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Covered Executives</w:t>
      </w:r>
    </w:p>
    <w:p>
      <w:pPr>
        <w:spacing w:after="0" w:line="210"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This Policy applies to any current or former “executive officer,” within the meaning of Rule 10D-1 under the Securities Exchange Act of 1934, as amended, of the Company or a subsidiary of the Company (each such individual, an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This Policy shall be binding and enforceable against all Executives and their beneficiaries, executors, administrators, and other legal representatives.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Upon Financial Restatement</w:t>
      </w:r>
    </w:p>
    <w:p>
      <w:pPr>
        <w:spacing w:after="0" w:line="23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2"/>
          <w:szCs w:val="22"/>
          <w:u w:val="single" w:color="auto"/>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Compensation Committee shall cause the Company to recoup from each Executive, as promptly as reasonably possible, any erroneously awarded Incentive-Based Compensation, as defined below.</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No-Fault Recovery</w:t>
      </w:r>
    </w:p>
    <w:p>
      <w:pPr>
        <w:spacing w:after="0" w:line="23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21"/>
          <w:szCs w:val="21"/>
          <w:color w:val="auto"/>
        </w:rPr>
        <w:t>Recoupment under this Policy shall be required regardless of whether the Executive or any other person was at fault or responsible for accounting errors that contributed to the need for the Financial Restatement or engaged in any misconduct.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Subject to Recovery; Enforcement</w:t>
      </w:r>
    </w:p>
    <w:p>
      <w:pPr>
        <w:spacing w:after="0" w:line="23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This Policy applies to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including but not limited to performance-based cash, stock, options or other equity-based awards paid or granted to the Executive (“</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Compensation that is granted, vests or is earned based solely upon the occurrence of non-financial events, such as base salary, restricted stock or options with time-based vesting, or a bonus awarded solely at the discretion of the Board or Compensation Committee and not based on the attainment of any financial measure, is not subject to this Policy.</w:t>
      </w:r>
    </w:p>
    <w:p>
      <w:pPr>
        <w:spacing w:after="0" w:line="21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1"/>
          <w:szCs w:val="21"/>
          <w:color w:val="auto"/>
        </w:rPr>
        <w:t>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w:t>
      </w: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 means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(as set forth in Section 5608(b)(i)(D)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spacing w:after="0" w:line="204"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For Incentive-Based Compensation based on stock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stock price or TSR upon which the Incentive-Based Compensation was received and the Company shall document the determination of that estimate and provide it to Nasdaq.</w:t>
      </w:r>
    </w:p>
    <w:p>
      <w:pPr>
        <w:spacing w:after="0" w:line="2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Incentive-Based Compensation is considered to have been received by an Executive in the fiscal year during which the applicable financial reporting measure was attained or purportedly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attained, even if the payment or grant of such Incentive-Based Compensation occurs after the end of that period.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may use any legal or equitable remedies that are available to the Company to</w:t>
      </w:r>
    </w:p>
    <w:p>
      <w:pPr>
        <w:spacing w:after="0" w:line="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1"/>
          <w:szCs w:val="21"/>
          <w:color w:val="auto"/>
        </w:rPr>
        <w:t>recoup any erroneously awarded Incentive-Based Compensation, including but not limited to by collecting from the Executive cash payments or shares of Company common stock from or by forfeiting any amounts that the Company owes to the Executive.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3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21"/>
          <w:szCs w:val="21"/>
          <w:color w:val="auto"/>
        </w:rPr>
        <w:t>The Company shall not indemnify any Executive or pay or reimburse the premium for any insurance policy to cover any losses incurred by such Executive under this Policy or any claims relating to the Company’s enforcement of rights under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Exceptions</w:t>
      </w:r>
    </w:p>
    <w:p>
      <w:pPr>
        <w:spacing w:after="0" w:line="23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compensation recouped under this Policy shall not include Incentive-Based Compensation received by an Executive (i) prior to beginning service as an Executive or (ii) if he or she did not serve as an Executive at any time during the performance period applicable to the Incentive-Based Compensation in question. The Compensation Committee (or a majority of independent directors serving on the Board)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 (C) recovery would likely cause the Company’s 401(k) plan or any other tax-qualified retirement plan to fail to meet the requirements of Section 401(a)(13) or Section 411(a) of the Internal Revenue Code of 1986, as amended, and the regulations thereunder.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Remedies Not Precluded</w:t>
      </w:r>
    </w:p>
    <w:p>
      <w:pPr>
        <w:spacing w:after="0" w:line="23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exercise by the Compensation Committee of any rights pursuant to this Policy shall be without prejudice to any other rights or remedies that the Company, the Board or the Compensation Committee may have with respect to any Executive subject to this Policy, whether arising under applicable law (including pursuant to Section 304 of the Sarbanes-Oxley Act of 2002), regulation or pursuant to the terms of any other policy of the Company, employment agreement, equity award, cash incentive award or other agreement applicable to an Executive. Notwithstanding the foregoing, there shall be no duplication of recovery of the same Incentive-Based Compensation under this Policy and any other such rights or remedies.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w:t>
      </w:r>
    </w:p>
    <w:p>
      <w:pPr>
        <w:spacing w:after="0" w:line="23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To the extent required by the Compensation Committee, each Executive shall be required to sign and return to the Company the acknowledgement form attached hereto as Exhibit A pursuant to which such Executive will agree to be bound by the terms of, and comply with, this Policy. For the avoidance of doubt, each Executive shall be fully bound by, and must comply with, the Policy, whether or not such Executive has executed and returned such acknowledgment form to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Effective Date and Applicability</w:t>
      </w:r>
    </w:p>
    <w:p>
      <w:pPr>
        <w:spacing w:after="0" w:line="23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This Policy has been adopted by the Board on October 25, 2023, and shall apply to any Incentive-Based Compensation that is received by an Executive on or after October 2, 2023.</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DODD-FRANK COMPENSATION CLAWBACK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20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color w:val="auto"/>
        </w:rPr>
        <w:t>Capitalized terms used but not otherwise defined in this Acknowledgement Form (this “</w:t>
      </w:r>
      <w:r>
        <w:rPr>
          <w:rFonts w:ascii="Times New Roman" w:cs="Times New Roman" w:eastAsia="Times New Roman" w:hAnsi="Times New Roman"/>
          <w:sz w:val="22"/>
          <w:szCs w:val="22"/>
          <w:b w:val="1"/>
          <w:bCs w:val="1"/>
          <w:i w:val="1"/>
          <w:iCs w:val="1"/>
          <w:color w:val="auto"/>
        </w:rPr>
        <w:t>Acknowledgement Form</w:t>
      </w:r>
      <w:r>
        <w:rPr>
          <w:rFonts w:ascii="Times New Roman" w:cs="Times New Roman" w:eastAsia="Times New Roman" w:hAnsi="Times New Roman"/>
          <w:sz w:val="22"/>
          <w:szCs w:val="22"/>
          <w:color w:val="auto"/>
        </w:rPr>
        <w:t>”) shall have the meanings ascribed to such terms in the Policy.</w:t>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By signing this Acknowledgement Form, the undersigned acknowledges, confirms and agrees that the undersigned: (i) has received and reviewed a copy of the Policy; (ii) is and will continue to be subject to the Policy and that the Policy will apply both during and after the undersigned’s employment with the Company; and (iii) will abide by the terms of the Policy, including, without limitation, by reasonably promptly returning any Recoverable Compensation to the Company as required by the Policy, as determined by the Compensation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20" w:type="dxa"/>
            <w:vAlign w:val="bottom"/>
          </w:tcPr>
          <w:p>
            <w:pPr>
              <w:ind w:left="4880"/>
              <w:spacing w:after="0"/>
              <w:rPr>
                <w:sz w:val="20"/>
                <w:szCs w:val="20"/>
                <w:color w:val="auto"/>
              </w:rPr>
            </w:pPr>
            <w:r>
              <w:rPr>
                <w:rFonts w:ascii="Times New Roman" w:cs="Times New Roman" w:eastAsia="Times New Roman" w:hAnsi="Times New Roman"/>
                <w:sz w:val="22"/>
                <w:szCs w:val="22"/>
                <w:color w:val="auto"/>
              </w:rPr>
              <w:t>Sign:</w:t>
            </w:r>
          </w:p>
        </w:tc>
        <w:tc>
          <w:tcPr>
            <w:tcW w:w="57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_____________________________</w:t>
            </w:r>
          </w:p>
        </w:tc>
      </w:tr>
      <w:tr>
        <w:trPr>
          <w:trHeight w:val="282"/>
        </w:trPr>
        <w:tc>
          <w:tcPr>
            <w:tcW w:w="5520" w:type="dxa"/>
            <w:vAlign w:val="bottom"/>
          </w:tcPr>
          <w:p>
            <w:pPr>
              <w:ind w:left="4880"/>
              <w:spacing w:after="0"/>
              <w:rPr>
                <w:sz w:val="20"/>
                <w:szCs w:val="20"/>
                <w:color w:val="auto"/>
              </w:rPr>
            </w:pPr>
            <w:r>
              <w:rPr>
                <w:rFonts w:ascii="Times New Roman" w:cs="Times New Roman" w:eastAsia="Times New Roman" w:hAnsi="Times New Roman"/>
                <w:sz w:val="22"/>
                <w:szCs w:val="22"/>
                <w:color w:val="auto"/>
              </w:rPr>
              <w:t>Name:</w:t>
            </w:r>
          </w:p>
        </w:tc>
        <w:tc>
          <w:tcPr>
            <w:tcW w:w="57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[Employee]</w:t>
            </w:r>
          </w:p>
        </w:tc>
      </w:tr>
      <w:tr>
        <w:trPr>
          <w:trHeight w:val="729"/>
        </w:trPr>
        <w:tc>
          <w:tcPr>
            <w:tcW w:w="5520" w:type="dxa"/>
            <w:vAlign w:val="bottom"/>
          </w:tcPr>
          <w:p>
            <w:pPr>
              <w:ind w:left="4880"/>
              <w:spacing w:after="0"/>
              <w:rPr>
                <w:sz w:val="20"/>
                <w:szCs w:val="20"/>
                <w:color w:val="auto"/>
              </w:rPr>
            </w:pPr>
            <w:r>
              <w:rPr>
                <w:rFonts w:ascii="Times New Roman" w:cs="Times New Roman" w:eastAsia="Times New Roman" w:hAnsi="Times New Roman"/>
                <w:sz w:val="22"/>
                <w:szCs w:val="22"/>
                <w:color w:val="auto"/>
              </w:rPr>
              <w:t>Date:</w:t>
            </w:r>
          </w:p>
        </w:tc>
        <w:tc>
          <w:tcPr>
            <w:tcW w:w="57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_____________________________</w:t>
            </w:r>
          </w:p>
        </w:tc>
      </w:tr>
      <w:tr>
        <w:trPr>
          <w:trHeight w:val="906"/>
        </w:trPr>
        <w:tc>
          <w:tcPr>
            <w:tcW w:w="5520" w:type="dxa"/>
            <w:vAlign w:val="bottom"/>
          </w:tcPr>
          <w:p>
            <w:pPr>
              <w:spacing w:after="0"/>
              <w:rPr>
                <w:sz w:val="24"/>
                <w:szCs w:val="24"/>
                <w:color w:val="auto"/>
              </w:rPr>
            </w:pPr>
          </w:p>
        </w:tc>
        <w:tc>
          <w:tcPr>
            <w:tcW w:w="5720" w:type="dxa"/>
            <w:vAlign w:val="bottom"/>
          </w:tcPr>
          <w:p>
            <w:pPr>
              <w:jc w:val="right"/>
              <w:ind w:right="5477"/>
              <w:spacing w:after="0"/>
              <w:rPr>
                <w:sz w:val="20"/>
                <w:szCs w:val="20"/>
                <w:color w:val="auto"/>
              </w:rPr>
            </w:pPr>
            <w:r>
              <w:rPr>
                <w:rFonts w:ascii="Times New Roman" w:cs="Times New Roman" w:eastAsia="Times New Roman" w:hAnsi="Times New Roman"/>
                <w:sz w:val="18"/>
                <w:szCs w:val="18"/>
                <w:color w:val="auto"/>
              </w:rPr>
              <w:t>5</w:t>
            </w:r>
          </w:p>
        </w:tc>
      </w:tr>
      <w:tr>
        <w:trPr>
          <w:trHeight w:val="1006"/>
        </w:trPr>
        <w:tc>
          <w:tcPr>
            <w:tcW w:w="55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9" w:name="page140"/>
    <w:bookmarkEnd w:id="1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lvl w:ilvl="1">
      <w:lvlJc w:val="left"/>
      <w:lvlText w:val="▪"/>
      <w:numFmt w:val="bullet"/>
      <w:start w:val="1"/>
    </w:lvl>
  </w:abstractNum>
  <w:abstractNum w:abstractNumId="15">
    <w:nsid w:val="6DE91B18"/>
    <w:multiLevelType w:val="hybridMultilevel"/>
    <w:lvl w:ilvl="0">
      <w:lvlJc w:val="left"/>
      <w:lvlText w:val="•"/>
      <w:numFmt w:val="bullet"/>
      <w:start w:val="1"/>
    </w:lvl>
    <w:lvl w:ilvl="1">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lowerRoman"/>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lowerLetter"/>
      <w:start w:val="26"/>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1."/>
      <w:numFmt w:val="decimal"/>
      <w:start w:val="3"/>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8"/>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2"/>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4"/>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lowerRoman"/>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2"/>
    </w:lvl>
  </w:abstractNum>
  <w:abstractNum w:abstractNumId="51">
    <w:nsid w:val="2F305DEF"/>
    <w:multiLevelType w:val="hybridMultilevel"/>
    <w:lvl w:ilvl="0">
      <w:lvlJc w:val="left"/>
      <w:lvlText w:val="%1"/>
      <w:numFmt w:val="decimal"/>
      <w:start w:val="104"/>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1"/>
      <w:numFmt w:val="bullet"/>
      <w:start w:val="1"/>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2"/>
    </w:lvl>
  </w:abstractNum>
  <w:abstractNum w:abstractNumId="62">
    <w:nsid w:val="98A3148"/>
    <w:multiLevelType w:val="hybridMultilevel"/>
    <w:lvl w:ilvl="0">
      <w:lvlJc w:val="left"/>
      <w:lvlText w:val="%1"/>
      <w:numFmt w:val="decimal"/>
      <w:start w:val="1"/>
    </w:lvl>
    <w:lvl w:ilvl="1">
      <w:lvlJc w:val="left"/>
      <w:lvlText w:val="(%2)"/>
      <w:numFmt w:val="lowerLetter"/>
      <w:start w:val="6"/>
    </w:lvl>
  </w:abstractNum>
  <w:abstractNum w:abstractNumId="63">
    <w:nsid w:val="799D0247"/>
    <w:multiLevelType w:val="hybridMultilevel"/>
    <w:lvl w:ilvl="0">
      <w:lvlJc w:val="left"/>
      <w:lvlText w:val="%1."/>
      <w:numFmt w:val="decimal"/>
      <w:start w:val="2"/>
    </w:lvl>
    <w:lvl w:ilvl="1">
      <w:lvlJc w:val="left"/>
      <w:lvlText w:val="%2"/>
      <w:numFmt w:val="lowerLetter"/>
      <w:start w:val="1"/>
    </w:lvl>
  </w:abstractNum>
  <w:abstractNum w:abstractNumId="64">
    <w:nsid w:val="6B94764"/>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65">
    <w:nsid w:val="42C296B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3"/>
    </w:lvl>
  </w:abstractNum>
  <w:abstractNum w:abstractNumId="66">
    <w:nsid w:val="168E121F"/>
    <w:multiLevelType w:val="hybridMultilevel"/>
    <w:lvl w:ilvl="0">
      <w:lvlJc w:val="left"/>
      <w:lvlText w:val="%1."/>
      <w:numFmt w:val="decimal"/>
      <w:start w:val="4"/>
    </w:lvl>
    <w:lvl w:ilvl="1">
      <w:lvlJc w:val="left"/>
      <w:lvlText w:val="(%2)"/>
      <w:numFmt w:val="lowerLetter"/>
      <w:start w:val="1"/>
    </w:lvl>
  </w:abstractNum>
  <w:abstractNum w:abstractNumId="67">
    <w:nsid w:val="1EBA5D2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8">
    <w:nsid w:val="661E3F1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69">
    <w:nsid w:val="5DC79EA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0">
    <w:nsid w:val="540A471C"/>
    <w:multiLevelType w:val="hybridMultilevel"/>
    <w:lvl w:ilvl="0">
      <w:lvlJc w:val="left"/>
      <w:lvlText w:val="%1"/>
      <w:numFmt w:val="decimal"/>
      <w:start w:val="1"/>
    </w:lvl>
    <w:lvl w:ilvl="1">
      <w:lvlJc w:val="left"/>
      <w:lvlText w:val="(%2)"/>
      <w:numFmt w:val="lowerLetter"/>
      <w:start w:val="2"/>
    </w:lvl>
  </w:abstractNum>
  <w:abstractNum w:abstractNumId="71">
    <w:nsid w:val="7BD3EE7B"/>
    <w:multiLevelType w:val="hybridMultilevel"/>
    <w:lvl w:ilvl="0">
      <w:lvlJc w:val="left"/>
      <w:lvlText w:val="%1."/>
      <w:numFmt w:val="decimal"/>
      <w:start w:val="7"/>
    </w:lvl>
    <w:lvl w:ilvl="1">
      <w:lvlJc w:val="left"/>
      <w:lvlText w:val="(%2)"/>
      <w:numFmt w:val="lowerLetter"/>
      <w:start w:val="1"/>
    </w:lvl>
  </w:abstractNum>
  <w:abstractNum w:abstractNumId="72">
    <w:nsid w:val="51D9C564"/>
    <w:multiLevelType w:val="hybridMultilevel"/>
    <w:lvl w:ilvl="0">
      <w:lvlJc w:val="left"/>
      <w:lvlText w:val="%1."/>
      <w:numFmt w:val="decimal"/>
      <w:start w:val="8"/>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3" Type="http://schemas.openxmlformats.org/officeDocument/2006/relationships/image" Target="media/image167.png"/><Relationship Id="rId195"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3" Type="http://schemas.openxmlformats.org/officeDocument/2006/relationships/image" Target="media/image173.png"/><Relationship Id="rId205" Type="http://schemas.openxmlformats.org/officeDocument/2006/relationships/image" Target="media/image174.png"/><Relationship Id="rId207"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430" Type="http://schemas.openxmlformats.org/officeDocument/2006/relationships/image" Target="media/image384.png"/><Relationship Id="rId431" Type="http://schemas.openxmlformats.org/officeDocument/2006/relationships/image" Target="media/image385.png"/><Relationship Id="rId432" Type="http://schemas.openxmlformats.org/officeDocument/2006/relationships/image" Target="media/image386.png"/><Relationship Id="rId433" Type="http://schemas.openxmlformats.org/officeDocument/2006/relationships/image" Target="media/image387.png"/><Relationship Id="rId434" Type="http://schemas.openxmlformats.org/officeDocument/2006/relationships/image" Target="media/image388.png"/><Relationship Id="rId435" Type="http://schemas.openxmlformats.org/officeDocument/2006/relationships/image" Target="media/image389.png"/><Relationship Id="rId436" Type="http://schemas.openxmlformats.org/officeDocument/2006/relationships/image" Target="media/image390.png"/><Relationship Id="rId437" Type="http://schemas.openxmlformats.org/officeDocument/2006/relationships/image" Target="media/image391.png"/><Relationship Id="rId438" Type="http://schemas.openxmlformats.org/officeDocument/2006/relationships/image" Target="media/image392.png"/><Relationship Id="rId439" Type="http://schemas.openxmlformats.org/officeDocument/2006/relationships/image" Target="media/image393.png"/><Relationship Id="rId440" Type="http://schemas.openxmlformats.org/officeDocument/2006/relationships/image" Target="media/image394.png"/><Relationship Id="rId441" Type="http://schemas.openxmlformats.org/officeDocument/2006/relationships/image" Target="media/image395.png"/><Relationship Id="rId442" Type="http://schemas.openxmlformats.org/officeDocument/2006/relationships/image" Target="media/image396.png"/><Relationship Id="rId443"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6" Type="http://schemas.openxmlformats.org/officeDocument/2006/relationships/image" Target="media/image400.png"/><Relationship Id="rId447" Type="http://schemas.openxmlformats.org/officeDocument/2006/relationships/image" Target="media/image401.png"/><Relationship Id="rId448" Type="http://schemas.openxmlformats.org/officeDocument/2006/relationships/image" Target="media/image402.png"/><Relationship Id="rId449" Type="http://schemas.openxmlformats.org/officeDocument/2006/relationships/image" Target="media/image403.png"/><Relationship Id="rId450" Type="http://schemas.openxmlformats.org/officeDocument/2006/relationships/image" Target="media/image404.png"/><Relationship Id="rId451"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6"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59" Type="http://schemas.openxmlformats.org/officeDocument/2006/relationships/image" Target="media/image413.png"/><Relationship Id="rId460"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png"/><Relationship Id="rId464" Type="http://schemas.openxmlformats.org/officeDocument/2006/relationships/image" Target="media/image418.png"/><Relationship Id="rId465" Type="http://schemas.openxmlformats.org/officeDocument/2006/relationships/image" Target="media/image419.png"/><Relationship Id="rId466" Type="http://schemas.openxmlformats.org/officeDocument/2006/relationships/image" Target="media/image420.png"/><Relationship Id="rId467" Type="http://schemas.openxmlformats.org/officeDocument/2006/relationships/image" Target="media/image421.png"/><Relationship Id="rId468" Type="http://schemas.openxmlformats.org/officeDocument/2006/relationships/image" Target="media/image422.png"/><Relationship Id="rId469" Type="http://schemas.openxmlformats.org/officeDocument/2006/relationships/image" Target="media/image423.png"/><Relationship Id="rId470" Type="http://schemas.openxmlformats.org/officeDocument/2006/relationships/image" Target="media/image424.png"/><Relationship Id="rId471" Type="http://schemas.openxmlformats.org/officeDocument/2006/relationships/image" Target="media/image425.png"/><Relationship Id="rId472" Type="http://schemas.openxmlformats.org/officeDocument/2006/relationships/image" Target="media/image426.png"/><Relationship Id="rId473" Type="http://schemas.openxmlformats.org/officeDocument/2006/relationships/image" Target="media/image427.png"/><Relationship Id="rId474" Type="http://schemas.openxmlformats.org/officeDocument/2006/relationships/image" Target="media/image428.png"/><Relationship Id="rId475" Type="http://schemas.openxmlformats.org/officeDocument/2006/relationships/image" Target="media/image429.png"/><Relationship Id="rId476" Type="http://schemas.openxmlformats.org/officeDocument/2006/relationships/image" Target="media/image430.png"/><Relationship Id="rId477" Type="http://schemas.openxmlformats.org/officeDocument/2006/relationships/image" Target="media/image431.png"/><Relationship Id="rId478" Type="http://schemas.openxmlformats.org/officeDocument/2006/relationships/image" Target="media/image432.png"/><Relationship Id="rId479" Type="http://schemas.openxmlformats.org/officeDocument/2006/relationships/image" Target="media/image433.png"/><Relationship Id="rId480" Type="http://schemas.openxmlformats.org/officeDocument/2006/relationships/image" Target="media/image434.png"/><Relationship Id="rId481" Type="http://schemas.openxmlformats.org/officeDocument/2006/relationships/image" Target="media/image435.png"/><Relationship Id="rId482" Type="http://schemas.openxmlformats.org/officeDocument/2006/relationships/image" Target="media/image436.png"/><Relationship Id="rId483" Type="http://schemas.openxmlformats.org/officeDocument/2006/relationships/image" Target="media/image437.png"/><Relationship Id="rId484" Type="http://schemas.openxmlformats.org/officeDocument/2006/relationships/image" Target="media/image438.png"/><Relationship Id="rId485" Type="http://schemas.openxmlformats.org/officeDocument/2006/relationships/image" Target="media/image439.png"/><Relationship Id="rId486" Type="http://schemas.openxmlformats.org/officeDocument/2006/relationships/image" Target="media/image440.png"/><Relationship Id="rId487" Type="http://schemas.openxmlformats.org/officeDocument/2006/relationships/image" Target="media/image441.png"/><Relationship Id="rId488" Type="http://schemas.openxmlformats.org/officeDocument/2006/relationships/image" Target="media/image442.png"/><Relationship Id="rId489" Type="http://schemas.openxmlformats.org/officeDocument/2006/relationships/image" Target="media/image443.png"/><Relationship Id="rId490" Type="http://schemas.openxmlformats.org/officeDocument/2006/relationships/image" Target="media/image444.png"/><Relationship Id="rId491" Type="http://schemas.openxmlformats.org/officeDocument/2006/relationships/image" Target="media/image445.png"/><Relationship Id="rId492" Type="http://schemas.openxmlformats.org/officeDocument/2006/relationships/image" Target="media/image446.png"/><Relationship Id="rId493" Type="http://schemas.openxmlformats.org/officeDocument/2006/relationships/image" Target="media/image447.png"/><Relationship Id="rId494" Type="http://schemas.openxmlformats.org/officeDocument/2006/relationships/image" Target="media/image448.png"/><Relationship Id="rId495" Type="http://schemas.openxmlformats.org/officeDocument/2006/relationships/image" Target="media/image449.png"/><Relationship Id="rId496" Type="http://schemas.openxmlformats.org/officeDocument/2006/relationships/image" Target="media/image450.png"/><Relationship Id="rId497" Type="http://schemas.openxmlformats.org/officeDocument/2006/relationships/image" Target="media/image451.png"/><Relationship Id="rId498" Type="http://schemas.openxmlformats.org/officeDocument/2006/relationships/image" Target="media/image452.png"/><Relationship Id="rId499" Type="http://schemas.openxmlformats.org/officeDocument/2006/relationships/image" Target="media/image453.png"/><Relationship Id="rId500" Type="http://schemas.openxmlformats.org/officeDocument/2006/relationships/image" Target="media/image454.png"/><Relationship Id="rId501" Type="http://schemas.openxmlformats.org/officeDocument/2006/relationships/image" Target="media/image455.png"/><Relationship Id="rId502" Type="http://schemas.openxmlformats.org/officeDocument/2006/relationships/image" Target="media/image456.png"/><Relationship Id="rId503" Type="http://schemas.openxmlformats.org/officeDocument/2006/relationships/image" Target="media/image457.png"/><Relationship Id="rId504" Type="http://schemas.openxmlformats.org/officeDocument/2006/relationships/image" Target="media/image458.png"/><Relationship Id="rId505" Type="http://schemas.openxmlformats.org/officeDocument/2006/relationships/image" Target="media/image459.png"/><Relationship Id="rId506" Type="http://schemas.openxmlformats.org/officeDocument/2006/relationships/image" Target="media/image460.png"/><Relationship Id="rId507" Type="http://schemas.openxmlformats.org/officeDocument/2006/relationships/image" Target="media/image461.png"/><Relationship Id="rId508" Type="http://schemas.openxmlformats.org/officeDocument/2006/relationships/image" Target="media/image462.png"/><Relationship Id="rId509" Type="http://schemas.openxmlformats.org/officeDocument/2006/relationships/image" Target="media/image463.png"/><Relationship Id="rId510" Type="http://schemas.openxmlformats.org/officeDocument/2006/relationships/image" Target="media/image464.png"/><Relationship Id="rId511" Type="http://schemas.openxmlformats.org/officeDocument/2006/relationships/image" Target="media/image465.png"/><Relationship Id="rId512" Type="http://schemas.openxmlformats.org/officeDocument/2006/relationships/image" Target="media/image466.png"/><Relationship Id="rId513" Type="http://schemas.openxmlformats.org/officeDocument/2006/relationships/image" Target="media/image467.png"/><Relationship Id="rId514" Type="http://schemas.openxmlformats.org/officeDocument/2006/relationships/image" Target="media/image468.png"/><Relationship Id="rId515" Type="http://schemas.openxmlformats.org/officeDocument/2006/relationships/image" Target="media/image469.png"/><Relationship Id="rId160" Type="http://schemas.openxmlformats.org/officeDocument/2006/relationships/hyperlink" Target="https://www.sec.gov/Archives/edgar/data/0001738177/000119312519171764/d507740dex31.htm" TargetMode="External"/><Relationship Id="rId161" Type="http://schemas.openxmlformats.org/officeDocument/2006/relationships/hyperlink" Target="https://www.sec.gov/Archives/edgar/data/0001738177/000119312519179261/d507740dex41.htm" TargetMode="External"/><Relationship Id="rId162" Type="http://schemas.openxmlformats.org/officeDocument/2006/relationships/hyperlink" Target="https://www.sec.gov/Archives/edgar/data/0001738177/000119312519171764/d507740dex42.htm" TargetMode="External"/><Relationship Id="rId163" Type="http://schemas.openxmlformats.org/officeDocument/2006/relationships/hyperlink" Target="https://www.sec.gov/Archives/edgar/data/1738177/000156459021009841/cmbm-ex43_294.htm" TargetMode="External"/><Relationship Id="rId164" Type="http://schemas.openxmlformats.org/officeDocument/2006/relationships/hyperlink" Target="https://www.sec.gov/Archives/edgar/data/0001738177/000119312519159473/d507740dex101.htm" TargetMode="External"/><Relationship Id="rId165" Type="http://schemas.openxmlformats.org/officeDocument/2006/relationships/hyperlink" Target="https://www.sec.gov/Archives/edgar/data/0001738177/000119312519159473/d507740dex102.htm" TargetMode="External"/><Relationship Id="rId166" Type="http://schemas.openxmlformats.org/officeDocument/2006/relationships/hyperlink" Target="https://www.sec.gov/Archives/edgar/data/0001738177/000119312519159473/d507740dex103.htm" TargetMode="External"/><Relationship Id="rId167" Type="http://schemas.openxmlformats.org/officeDocument/2006/relationships/hyperlink" Target="https://www.sec.gov/Archives/edgar/data/0001738177/000119312519159473/d507740dex104.htm" TargetMode="External"/><Relationship Id="rId168" Type="http://schemas.openxmlformats.org/officeDocument/2006/relationships/hyperlink" Target="https://www.sec.gov/Archives/edgar/data/0001738177/000119312519159473/d507740dex105.htm" TargetMode="External"/><Relationship Id="rId169" Type="http://schemas.openxmlformats.org/officeDocument/2006/relationships/hyperlink" Target="https://www.sec.gov/Archives/edgar/data/0001738177/000119312519159473/d507740dex106.htm" TargetMode="External"/><Relationship Id="rId170" Type="http://schemas.openxmlformats.org/officeDocument/2006/relationships/hyperlink" Target="https://www.sec.gov/Archives/edgar/data/0001738177/000119312519159473/d507740dex107.htm" TargetMode="External"/><Relationship Id="rId171" Type="http://schemas.openxmlformats.org/officeDocument/2006/relationships/hyperlink" Target="https://www.sec.gov/Archives/edgar/data/0001738177/000119312519159473/d507740dex108.htm" TargetMode="External"/><Relationship Id="rId174" Type="http://schemas.openxmlformats.org/officeDocument/2006/relationships/hyperlink" Target="https://www.sec.gov/Archives/edgar/data/0001738177/000119312519159473/d507740dex109.htm" TargetMode="External"/><Relationship Id="rId177" Type="http://schemas.openxmlformats.org/officeDocument/2006/relationships/hyperlink" Target="https://www.sec.gov/Archives/edgar/data/0001738177/000119312519159473/d507740dex1010.htm" TargetMode="External"/><Relationship Id="rId180" Type="http://schemas.openxmlformats.org/officeDocument/2006/relationships/hyperlink" Target="https://www.sec.gov/Archives/edgar/data/0001738177/000119312519159473/d507740dex1011.htm" TargetMode="External"/><Relationship Id="rId183" Type="http://schemas.openxmlformats.org/officeDocument/2006/relationships/hyperlink" Target="https://www.sec.gov/Archives/edgar/data/0001738177/000119312519159473/d507740dex1012.htm" TargetMode="External"/><Relationship Id="rId186" Type="http://schemas.openxmlformats.org/officeDocument/2006/relationships/hyperlink" Target="https://www.sec.gov/Archives/edgar/data/0001738177/000119312519159473/d507740dex1013.htm" TargetMode="External"/><Relationship Id="rId189" Type="http://schemas.openxmlformats.org/officeDocument/2006/relationships/hyperlink" Target="https://www.sec.gov/Archives/edgar/data/0001738177/000119312519159473/d507740dex1014.htm" TargetMode="External"/><Relationship Id="rId192" Type="http://schemas.openxmlformats.org/officeDocument/2006/relationships/hyperlink" Target="https://www.sec.gov/Archives/edgar/data/0001738177/000119312519171764/d507740dex1015.htm" TargetMode="External"/><Relationship Id="rId194" Type="http://schemas.openxmlformats.org/officeDocument/2006/relationships/hyperlink" Target="https://www.sec.gov/Archives/edgar/data/0001738177/000119312519171764/d507740dex1017.htm" TargetMode="External"/><Relationship Id="rId196" Type="http://schemas.openxmlformats.org/officeDocument/2006/relationships/hyperlink" Target="https://www.sec.gov/Archives/edgar/data/0001738177/000119312519171764/d507740dex1018.htm" TargetMode="External"/><Relationship Id="rId199" Type="http://schemas.openxmlformats.org/officeDocument/2006/relationships/hyperlink" Target="https://www.sec.gov/Archives/edgar/data/0001738177/000119312519171764/d507740dex1024.htm" TargetMode="External"/><Relationship Id="rId202" Type="http://schemas.openxmlformats.org/officeDocument/2006/relationships/hyperlink" Target="https://www.sec.gov/Archives/edgar/data/0001738177/000119312519179261/d507740dex1027.htm" TargetMode="External"/><Relationship Id="rId204" Type="http://schemas.openxmlformats.org/officeDocument/2006/relationships/hyperlink" Target="https://www.sec.gov/Archives/edgar/data/0001738177/000119312519179261/d507740dex1028.htm" TargetMode="External"/><Relationship Id="rId206" Type="http://schemas.openxmlformats.org/officeDocument/2006/relationships/hyperlink" Target="https://www.sec.gov/Archives/edgar/data/0001738177/000119312519179261/d507740dex1029.htm" TargetMode="External"/><Relationship Id="rId208" Type="http://schemas.openxmlformats.org/officeDocument/2006/relationships/hyperlink" Target="https://www.sec.gov/Archives/edgar/data/1738177/000156459021057661/cmbm-ex1034_26.htm" TargetMode="External"/><Relationship Id="rId211" Type="http://schemas.openxmlformats.org/officeDocument/2006/relationships/hyperlink" Target="https://www.sec.gov/Archives/edgar/data/1738177/000156459021057661/cmbm-ex1035_27.htm" TargetMode="External"/><Relationship Id="rId214" Type="http://schemas.openxmlformats.org/officeDocument/2006/relationships/hyperlink" Target="https://www.sec.gov/Archives/edgar/data/1738177/000095017022001957/cmbm-ex10_36.htm" TargetMode="External"/><Relationship Id="rId218" Type="http://schemas.openxmlformats.org/officeDocument/2006/relationships/hyperlink" Target="https://www.sec.gov/Archives/edgar/data/1738177/000095017022001957/cmbm-ex10_37.htm" TargetMode="External"/><Relationship Id="rId221" Type="http://schemas.openxmlformats.org/officeDocument/2006/relationships/hyperlink" Target="https://www.sec.gov/Archives/edgar/data/1738177/000095017022001957/cmbm-ex10_38.htm" TargetMode="External"/><Relationship Id="rId225" Type="http://schemas.openxmlformats.org/officeDocument/2006/relationships/hyperlink" Target="https://www.sec.gov/Archives/edgar/data/1738177/000095017023037148/cmbm-ex10_40.htm" TargetMode="External"/><Relationship Id="rId226" Type="http://schemas.openxmlformats.org/officeDocument/2006/relationships/hyperlink" Target="https://www.sec.gov/Archives/edgar/data/1738177/000095017023037148/cmbm-ex10_43.htm" TargetMode="External"/><Relationship Id="rId227" Type="http://schemas.openxmlformats.org/officeDocument/2006/relationships/hyperlink" Target="https://www.sec.gov/Archives/edgar/data/1738177/000095017023058824/cmbm-ex10_44.htm" TargetMode="External"/><Relationship Id="rId228" Type="http://schemas.openxmlformats.org/officeDocument/2006/relationships/hyperlink" Target="https://www.sec.gov/Archives/edgar/data/1738177/000095017023058824/cmbm-ex10_45.htm" TargetMode="External"/><Relationship Id="rId229" Type="http://schemas.openxmlformats.org/officeDocument/2006/relationships/hyperlink" Target="https://www.sec.gov/Archives/edgar/data/1738177/000095017023058824/cmbm-ex10_46.htm" TargetMode="External"/><Relationship Id="rId230" Type="http://schemas.openxmlformats.org/officeDocument/2006/relationships/hyperlink" Target="https://www.sec.gov/Archives/edgar/data/1738177/000095017024002441/cmbm-ex10_47.htm" TargetMode="External"/><Relationship Id="rId231" Type="http://schemas.openxmlformats.org/officeDocument/2006/relationships/hyperlink" Target="https://www.sec.gov/Archives/edgar/data/1738177/000119312526144057/cmbm-ex19_insider.htm" TargetMode="External"/><Relationship Id="rId232" Type="http://schemas.openxmlformats.org/officeDocument/2006/relationships/hyperlink" Target="https://www.sec.gov/Archives/edgar/data/0001738177/000119312519159473/d507740dex211.htm" TargetMode="External"/><Relationship Id="rId233" Type="http://schemas.openxmlformats.org/officeDocument/2006/relationships/hyperlink" Target="https://www.sec.gov/Archives/edgar/data/1738177/000119312526144057/cmbm-ex97_clawba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2026-05-01T16:38:13Z</dcterms:created>
  <dcterms:modified xsi:type="dcterms:W3CDTF">2026-05-01T16:38:13Z</dcterms:modified>
</cp:coreProperties>
</file>