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mbm-q2_2026-nt-10-q_-_0.htm"/>
      <w:bookmarkStart w:id="1" w:name="kscmbmq2_2026nt10q__0"/>
      <w:bookmarkEnd w:id="0"/>
      <w:bookmarkEnd w:id="1"/>
      <w:r>
        <w:rPr/>
        <w:t> </w:t>
      </w:r>
    </w:p>
    <w:p>
      <w:pPr>
        <w:pStyle w:val="TextBody"/>
        <w:pBdr>
          <w:top w:val="single" w:sz="6" w:space="1" w:color="000000"/>
          <w:bottom w:val="single" w:sz="6" w:space="1" w:color="000000"/>
        </w:pBdr>
        <w:bidi w:val="0"/>
        <w:spacing w:before="480" w:after="283"/>
        <w:jc w:val="left"/>
        <w:rPr/>
      </w:pPr>
      <w:r>
        <w:rPr/>
        <w:t> </w:t>
      </w:r>
    </w:p>
    <w:p>
      <w:pPr>
        <w:pStyle w:val="TextBody"/>
        <w:bidi w:val="0"/>
        <w:spacing w:before="18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6" w:space="1" w:color="000000"/>
        </w:pBdr>
        <w:bidi w:val="0"/>
        <w:spacing w:before="180" w:after="283"/>
        <w:jc w:val="center"/>
        <w:rPr/>
      </w:pPr>
      <w:r>
        <w:rPr/>
        <w:t> </w:t>
      </w:r>
    </w:p>
    <w:p>
      <w:pPr>
        <w:pStyle w:val="TextBody"/>
        <w:bidi w:val="0"/>
        <w:spacing w:before="240" w:after="283"/>
        <w:jc w:val="center"/>
        <w:rPr>
          <w:rFonts w:ascii="Times New Roman" w:hAnsi="Times New Roman"/>
          <w:b/>
          <w:color w:val="000000"/>
          <w:sz w:val="36"/>
        </w:rPr>
      </w:pPr>
      <w:r>
        <w:rPr>
          <w:rFonts w:ascii="Times New Roman" w:hAnsi="Times New Roman"/>
          <w:b/>
          <w:color w:val="000000"/>
          <w:sz w:val="36"/>
        </w:rPr>
        <w:t>FORM 12b-25</w:t>
      </w:r>
    </w:p>
    <w:p>
      <w:pPr>
        <w:pStyle w:val="TextBody"/>
        <w:pBdr>
          <w:bottom w:val="single" w:sz="6" w:space="1" w:color="000000"/>
        </w:pBdr>
        <w:bidi w:val="0"/>
        <w:spacing w:before="180" w:after="283"/>
        <w:jc w:val="center"/>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NOTIFICATION OF LATE FILING</w:t>
      </w:r>
    </w:p>
    <w:tbl>
      <w:tblPr>
        <w:tblW w:w="6163" w:type="dxa"/>
        <w:jc w:val="left"/>
        <w:tblInd w:w="0" w:type="dxa"/>
        <w:tblLayout w:type="fixed"/>
        <w:tblCellMar>
          <w:top w:w="28" w:type="dxa"/>
          <w:left w:w="28" w:type="dxa"/>
          <w:bottom w:w="28" w:type="dxa"/>
          <w:right w:w="28" w:type="dxa"/>
        </w:tblCellMar>
      </w:tblPr>
      <w:tblGrid>
        <w:gridCol w:w="1186"/>
        <w:gridCol w:w="146"/>
        <w:gridCol w:w="4831"/>
      </w:tblGrid>
      <w:tr>
        <w:trPr/>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31" w:type="dxa"/>
            <w:tcBorders/>
            <w:vAlign w:val="center"/>
          </w:tcPr>
          <w:p>
            <w:pPr>
              <w:pStyle w:val="TableContents"/>
              <w:bidi w:val="0"/>
              <w:spacing w:before="0" w:after="283"/>
              <w:jc w:val="left"/>
              <w:rPr>
                <w:sz w:val="4"/>
                <w:szCs w:val="4"/>
              </w:rPr>
            </w:pPr>
            <w:r>
              <w:rPr>
                <w:sz w:val="4"/>
                <w:szCs w:val="4"/>
              </w:rPr>
            </w:r>
          </w:p>
        </w:tc>
      </w:tr>
      <w:tr>
        <w:trPr/>
        <w:tc>
          <w:tcPr>
            <w:tcW w:w="11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(Check One)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1" w:type="dxa"/>
            <w:tcBorders/>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Form 10-K ☐  Form 20-F ☐  Form 11-K ☒ Form 10-Q</w:t>
            </w:r>
          </w:p>
        </w:tc>
      </w:tr>
      <w:tr>
        <w:trPr/>
        <w:tc>
          <w:tcPr>
            <w:tcW w:w="118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31" w:type="dxa"/>
            <w:tcBorders/>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Form 10-D ☐  Form N-SAR ☐  Form N-CSR</w:t>
            </w:r>
          </w:p>
        </w:tc>
      </w:tr>
      <w:tr>
        <w:trPr/>
        <w:tc>
          <w:tcPr>
            <w:tcW w:w="11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 Period Ended: June 30, 2026</w:t>
            </w:r>
          </w:p>
        </w:tc>
      </w:tr>
      <w:tr>
        <w:trPr/>
        <w:tc>
          <w:tcPr>
            <w:tcW w:w="11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1" w:type="dxa"/>
            <w:tcBorders/>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Transition Report on Form 10-K</w:t>
            </w:r>
          </w:p>
        </w:tc>
      </w:tr>
      <w:tr>
        <w:trPr/>
        <w:tc>
          <w:tcPr>
            <w:tcW w:w="1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1" w:type="dxa"/>
            <w:tcBorders/>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Transition Report on Form 20-F</w:t>
            </w:r>
          </w:p>
        </w:tc>
      </w:tr>
      <w:tr>
        <w:trPr/>
        <w:tc>
          <w:tcPr>
            <w:tcW w:w="1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1" w:type="dxa"/>
            <w:tcBorders/>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Transition Report on Form 11-K</w:t>
            </w:r>
          </w:p>
        </w:tc>
      </w:tr>
      <w:tr>
        <w:trPr/>
        <w:tc>
          <w:tcPr>
            <w:tcW w:w="1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1" w:type="dxa"/>
            <w:tcBorders/>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Transition Report on Form 10-Q</w:t>
            </w:r>
          </w:p>
        </w:tc>
      </w:tr>
      <w:tr>
        <w:trPr/>
        <w:tc>
          <w:tcPr>
            <w:tcW w:w="1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1" w:type="dxa"/>
            <w:tcBorders/>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Transition Report on Form N-SAR</w:t>
            </w:r>
          </w:p>
        </w:tc>
      </w:tr>
      <w:tr>
        <w:trPr/>
        <w:tc>
          <w:tcPr>
            <w:tcW w:w="11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For the Transition Period Ended: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 notification relates to a portion of the filing checked above, identify the Item(s) to which the notification relates:</w:t>
      </w:r>
    </w:p>
    <w:p>
      <w:pPr>
        <w:pStyle w:val="TextBody"/>
        <w:bidi w:val="0"/>
        <w:spacing w:before="240" w:after="283"/>
        <w:jc w:val="center"/>
        <w:rPr/>
      </w:pPr>
      <w:r>
        <w:rPr/>
        <w:t> </w:t>
      </w:r>
    </w:p>
    <w:p>
      <w:pPr>
        <w:pStyle w:val="TextBody"/>
        <w:pBdr>
          <w:top w:val="single" w:sz="18" w:space="1" w:color="000000"/>
        </w:pBdr>
        <w:bidi w:val="0"/>
        <w:spacing w:before="350" w:after="283"/>
        <w:jc w:val="center"/>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PART I — REGISTRANT INFORMATION</w:t>
      </w:r>
    </w:p>
    <w:p>
      <w:pPr>
        <w:pStyle w:val="TextBody"/>
        <w:bidi w:val="0"/>
        <w:spacing w:before="480" w:after="283"/>
        <w:jc w:val="center"/>
        <w:rPr>
          <w:rFonts w:ascii="Times New Roman" w:hAnsi="Times New Roman"/>
          <w:b/>
          <w:color w:val="000000"/>
          <w:sz w:val="44"/>
        </w:rPr>
      </w:pPr>
      <w:r>
        <w:rPr>
          <w:rFonts w:ascii="Times New Roman" w:hAnsi="Times New Roman"/>
          <w:b/>
          <w:color w:val="000000"/>
          <w:sz w:val="44"/>
        </w:rPr>
        <w:t>CAMBIUM NETWORKS CORPORATION</w:t>
      </w:r>
    </w:p>
    <w:p>
      <w:pPr>
        <w:pStyle w:val="TextBody"/>
        <w:bidi w:val="0"/>
        <w:jc w:val="center"/>
        <w:rPr>
          <w:rFonts w:ascii="Times New Roman" w:hAnsi="Times New Roman"/>
          <w:b/>
          <w:color w:val="000000"/>
          <w:sz w:val="20"/>
        </w:rPr>
      </w:pPr>
      <w:r>
        <w:rPr>
          <w:rFonts w:ascii="Times New Roman" w:hAnsi="Times New Roman"/>
          <w:b/>
          <w:color w:val="000000"/>
          <w:sz w:val="20"/>
        </w:rPr>
        <w:t>(Full Name of Registrant)</w:t>
      </w:r>
    </w:p>
    <w:p>
      <w:pPr>
        <w:pStyle w:val="TextBody"/>
        <w:bidi w:val="0"/>
        <w:spacing w:before="480" w:after="283"/>
        <w:jc w:val="center"/>
        <w:rPr>
          <w:rFonts w:ascii="Times New Roman" w:hAnsi="Times New Roman"/>
          <w:b/>
          <w:color w:val="000000"/>
          <w:sz w:val="20"/>
        </w:rPr>
      </w:pPr>
      <w:r>
        <w:rPr>
          <w:rFonts w:ascii="Times New Roman" w:hAnsi="Times New Roman"/>
          <w:b/>
          <w:color w:val="000000"/>
          <w:sz w:val="20"/>
        </w:rPr>
        <w:t>N/A</w:t>
      </w:r>
    </w:p>
    <w:p>
      <w:pPr>
        <w:pStyle w:val="TextBody"/>
        <w:bidi w:val="0"/>
        <w:jc w:val="center"/>
        <w:rPr>
          <w:rFonts w:ascii="Times New Roman" w:hAnsi="Times New Roman"/>
          <w:b/>
          <w:color w:val="000000"/>
          <w:sz w:val="15"/>
        </w:rPr>
      </w:pPr>
      <w:r>
        <w:rPr>
          <w:rFonts w:ascii="Times New Roman" w:hAnsi="Times New Roman"/>
          <w:b/>
          <w:color w:val="000000"/>
          <w:sz w:val="15"/>
        </w:rPr>
        <w:t>(Former Name if Applicable)</w:t>
      </w:r>
    </w:p>
    <w:p>
      <w:pPr>
        <w:pStyle w:val="TextBody"/>
        <w:bidi w:val="0"/>
        <w:spacing w:before="480" w:after="283"/>
        <w:jc w:val="center"/>
        <w:rPr>
          <w:rFonts w:ascii="Times New Roman" w:hAnsi="Times New Roman"/>
          <w:b/>
          <w:color w:val="000000"/>
          <w:sz w:val="20"/>
        </w:rPr>
      </w:pPr>
      <w:r>
        <w:rPr>
          <w:rFonts w:ascii="Times New Roman" w:hAnsi="Times New Roman"/>
          <w:b/>
          <w:color w:val="000000"/>
          <w:sz w:val="20"/>
        </w:rPr>
        <w:t>c/o Cambium Networks, Inc.</w:t>
      </w:r>
    </w:p>
    <w:p>
      <w:pPr>
        <w:pStyle w:val="TextBody"/>
        <w:bidi w:val="0"/>
        <w:jc w:val="center"/>
        <w:rPr>
          <w:rFonts w:ascii="Times New Roman" w:hAnsi="Times New Roman"/>
          <w:b/>
          <w:color w:val="000000"/>
          <w:sz w:val="20"/>
        </w:rPr>
      </w:pPr>
      <w:r>
        <w:rPr>
          <w:rFonts w:ascii="Times New Roman" w:hAnsi="Times New Roman"/>
          <w:b/>
          <w:color w:val="000000"/>
          <w:sz w:val="20"/>
        </w:rPr>
        <w:t>2000 Center Drive, Suite East A401</w:t>
      </w:r>
    </w:p>
    <w:p>
      <w:pPr>
        <w:pStyle w:val="TextBody"/>
        <w:bidi w:val="0"/>
        <w:jc w:val="center"/>
        <w:rPr>
          <w:rFonts w:ascii="Times New Roman" w:hAnsi="Times New Roman"/>
          <w:sz w:val="20"/>
        </w:rPr>
      </w:pPr>
      <w:r>
        <w:rPr>
          <w:rFonts w:ascii="Times New Roman" w:hAnsi="Times New Roman"/>
          <w:b/>
          <w:color w:val="000000"/>
          <w:sz w:val="15"/>
        </w:rPr>
        <w:t>(Address of Principal Executive Office (</w:t>
      </w:r>
      <w:r>
        <w:rPr>
          <w:rFonts w:ascii="Times New Roman" w:hAnsi="Times New Roman"/>
          <w:b/>
          <w:i/>
          <w:color w:val="000000"/>
          <w:sz w:val="15"/>
        </w:rPr>
        <w:t>Street and Number</w:t>
      </w:r>
      <w:r>
        <w:rPr>
          <w:rFonts w:ascii="Times New Roman" w:hAnsi="Times New Roman"/>
          <w:b/>
          <w:color w:val="000000"/>
          <w:sz w:val="15"/>
        </w:rPr>
        <w:t>))</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Hoffman Estates, Illinois 60092</w:t>
      </w:r>
    </w:p>
    <w:p>
      <w:pPr>
        <w:pStyle w:val="TextBody"/>
        <w:bidi w:val="0"/>
        <w:jc w:val="center"/>
        <w:rPr>
          <w:rFonts w:ascii="Times New Roman" w:hAnsi="Times New Roman"/>
          <w:b/>
          <w:color w:val="000000"/>
          <w:sz w:val="15"/>
        </w:rPr>
      </w:pPr>
      <w:r>
        <w:rPr>
          <w:rFonts w:ascii="Times New Roman" w:hAnsi="Times New Roman"/>
          <w:b/>
          <w:color w:val="000000"/>
          <w:sz w:val="15"/>
        </w:rPr>
        <w:t>(City, State and Zip Code)</w:t>
      </w:r>
    </w:p>
    <w:p>
      <w:pPr>
        <w:pStyle w:val="HorizontalLine"/>
        <w:pBdr>
          <w:bottom w:val="double" w:sz="2" w:space="0" w:color="808080"/>
        </w:pBdr>
        <w:bidi w:val="0"/>
        <w:spacing w:before="0" w:after="283"/>
        <w:jc w:val="left"/>
        <w:rPr/>
      </w:pPr>
      <w:r>
        <w:rPr/>
      </w:r>
    </w:p>
    <w:p>
      <w:pPr>
        <w:pStyle w:val="TextBody"/>
        <w:pBdr>
          <w:top w:val="single" w:sz="18" w:space="1" w:color="000000"/>
        </w:pBdr>
        <w:bidi w:val="0"/>
        <w:jc w:val="center"/>
        <w:rPr/>
      </w:pPr>
      <w:r>
        <w:rPr/>
        <w:t>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PART II — RULES 12b-25(b) AND (c)</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the subject report could not be filed without unreasonable effort or expense and the registrant seeks relief pursuant to Rule 12b-25(b), the following should be completed. (Check box if appropriate)</w:t>
      </w:r>
    </w:p>
    <w:tbl>
      <w:tblPr>
        <w:tblW w:w="10205" w:type="dxa"/>
        <w:jc w:val="left"/>
        <w:tblInd w:w="0" w:type="dxa"/>
        <w:tblLayout w:type="fixed"/>
        <w:tblCellMar>
          <w:top w:w="28" w:type="dxa"/>
          <w:left w:w="28" w:type="dxa"/>
          <w:bottom w:w="28" w:type="dxa"/>
          <w:right w:w="28" w:type="dxa"/>
        </w:tblCellMar>
      </w:tblPr>
      <w:tblGrid>
        <w:gridCol w:w="331"/>
        <w:gridCol w:w="109"/>
        <w:gridCol w:w="284"/>
        <w:gridCol w:w="109"/>
        <w:gridCol w:w="9372"/>
      </w:tblGrid>
      <w:tr>
        <w:trPr/>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72" w:type="dxa"/>
            <w:tcBorders/>
            <w:vAlign w:val="center"/>
          </w:tcPr>
          <w:p>
            <w:pPr>
              <w:pStyle w:val="TableContents"/>
              <w:bidi w:val="0"/>
              <w:spacing w:before="0" w:after="283"/>
              <w:jc w:val="left"/>
              <w:rPr>
                <w:sz w:val="4"/>
                <w:szCs w:val="4"/>
              </w:rPr>
            </w:pPr>
            <w:r>
              <w:rPr>
                <w:sz w:val="4"/>
                <w:szCs w:val="4"/>
              </w:rPr>
            </w:r>
          </w:p>
        </w:tc>
      </w:tr>
      <w:tr>
        <w:trPr/>
        <w:tc>
          <w:tcPr>
            <w:tcW w:w="331" w:type="dxa"/>
            <w:vMerge w:val="restart"/>
            <w:tcBorders>
              <w:right w:val="single" w:sz="6" w:space="0" w:color="000000"/>
            </w:tcBorders>
            <w:tcMar>
              <w:top w:w="0" w:type="dxa"/>
              <w:left w:w="0" w:type="dxa"/>
              <w:bottom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2"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The reason described in reasonable detail in Part III of this form could not be eliminated without unreasonable effort or expense;</w:t>
            </w:r>
          </w:p>
          <w:p>
            <w:pPr>
              <w:pStyle w:val="TableContents"/>
              <w:bidi w:val="0"/>
              <w:spacing w:before="0" w:after="15"/>
              <w:jc w:val="left"/>
              <w:rPr/>
            </w:pPr>
            <w:r>
              <w:rPr/>
              <w:t> </w:t>
            </w:r>
          </w:p>
        </w:tc>
      </w:tr>
      <w:tr>
        <w:trPr/>
        <w:tc>
          <w:tcPr>
            <w:tcW w:w="331" w:type="dxa"/>
            <w:vMerge w:val="continue"/>
            <w:tcBorders>
              <w:right w:val="single" w:sz="6" w:space="0" w:color="000000"/>
            </w:tcBorders>
            <w:tcMar>
              <w:top w:w="0" w:type="dxa"/>
              <w:left w:w="0" w:type="dxa"/>
              <w:bottom w:w="0" w:type="dxa"/>
            </w:tcMar>
            <w:vAlign w:val="center"/>
          </w:tcPr>
          <w:p>
            <w:pPr>
              <w:pStyle w:val="Normal"/>
              <w:bidi w:val="0"/>
              <w:jc w:val="left"/>
              <w:rPr/>
            </w:pPr>
            <w:r>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2"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The subject annual report, semi-annual report, transition report on Form 10-K, Form 20-F, Form 11-K, Form N-SAR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pStyle w:val="TableContents"/>
              <w:bidi w:val="0"/>
              <w:spacing w:before="0" w:after="15"/>
              <w:jc w:val="left"/>
              <w:rPr/>
            </w:pPr>
            <w:r>
              <w:rPr/>
              <w:t> </w:t>
            </w:r>
          </w:p>
        </w:tc>
      </w:tr>
      <w:tr>
        <w:trPr/>
        <w:tc>
          <w:tcPr>
            <w:tcW w:w="331" w:type="dxa"/>
            <w:vMerge w:val="continue"/>
            <w:tcBorders>
              <w:right w:val="single" w:sz="6" w:space="0" w:color="000000"/>
            </w:tcBorders>
            <w:tcMar>
              <w:top w:w="0" w:type="dxa"/>
              <w:left w:w="0" w:type="dxa"/>
              <w:bottom w:w="0" w:type="dxa"/>
            </w:tcMar>
            <w:vAlign w:val="center"/>
          </w:tcPr>
          <w:p>
            <w:pPr>
              <w:pStyle w:val="Normal"/>
              <w:bidi w:val="0"/>
              <w:jc w:val="left"/>
              <w:rPr/>
            </w:pPr>
            <w:r>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accountant’s statement or other exhibit required by Rule 12b-25(c) has been attached if applicable.</w:t>
            </w:r>
          </w:p>
        </w:tc>
      </w:tr>
    </w:tbl>
    <w:p>
      <w:pPr>
        <w:pStyle w:val="TextBody"/>
        <w:pBdr>
          <w:top w:val="single" w:sz="4" w:space="1" w:color="000000"/>
        </w:pBdr>
        <w:bidi w:val="0"/>
        <w:spacing w:before="270" w:after="283"/>
        <w:jc w:val="center"/>
        <w:rPr/>
      </w:pPr>
      <w:r>
        <w:rPr/>
        <w:t> </w:t>
      </w:r>
    </w:p>
    <w:p>
      <w:pPr>
        <w:pStyle w:val="TextBody"/>
        <w:bidi w:val="0"/>
        <w:spacing w:before="120" w:after="120"/>
        <w:jc w:val="center"/>
        <w:rPr>
          <w:rFonts w:ascii="Times New Roman" w:hAnsi="Times New Roman"/>
          <w:b/>
          <w:color w:val="000000"/>
          <w:sz w:val="20"/>
        </w:rPr>
      </w:pPr>
      <w:r>
        <w:rPr>
          <w:rFonts w:ascii="Times New Roman" w:hAnsi="Times New Roman"/>
          <w:b/>
          <w:color w:val="000000"/>
          <w:sz w:val="20"/>
        </w:rPr>
        <w:t>PART III — NARRATIVE</w:t>
      </w:r>
    </w:p>
    <w:p>
      <w:pPr>
        <w:pStyle w:val="TextBody"/>
        <w:bidi w:val="0"/>
        <w:jc w:val="left"/>
        <w:rPr>
          <w:rFonts w:ascii="Times New Roman" w:hAnsi="Times New Roman"/>
          <w:color w:val="000000"/>
          <w:sz w:val="20"/>
        </w:rPr>
      </w:pPr>
      <w:r>
        <w:rPr>
          <w:rFonts w:ascii="Times New Roman" w:hAnsi="Times New Roman"/>
          <w:color w:val="000000"/>
          <w:sz w:val="20"/>
        </w:rPr>
        <w:t>State below in reasonable detail why Forms 10-K, 20-F, 11-K, 10-Q, 10-D, N-SAR, N-CSR, or the transition report or portion thereof, could not be filed within the prescribed time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Cambium Networks Corporation (the “Company”) has determined that it is unable to file, without unreasonable effort or expense, its Quarterly Report on Form 10-Q for the period ended June 30, 2026 by the prescribed filing due date. </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Forward-Looking Statements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Certain matters discussed constitute forward-looking statements within the meaning of the federal securities laws. All statements contained in this notification that do not relate to matters of historical fact, including statements regarding anticipated results for the period ended June 30, 2026 and statements that address activities, events or developments that the Company “anticipates,” “believes,” “estimates,” “expects,” “intends,” “plans,” “projects,” and similar expressions, are forward -looking statements. The Company’s actual results could differ materially from the results contemplated by these forward-looking statements and are subject to a number of risks, uncertainties, estimates and assumptions that may cause actual results to differ materially from current expectations. These forward-looking statements are based on management's current expectations.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These statements are neither promises nor guarantees, but involve known and unknown risks, uncertainties and other important factors that may cause the Company's actual results, performance or achievements to be materially different from any future results, performance or achievements expressed or implied by the forward-looking statements. Important factors that could cause actual results to differ materially from expectations include, but are not limited to the risks and uncertainties included in the reports on Forms 10-K, 10-Q and 8-K and in other filings the Company makes with the Securities and Exchange Commission from time to time, available at www.sec.gov. The Company undertakes no obligation to update publicly any forward-looking statements, whether as a result of future events, new information or otherwise, except as required by law. </w:t>
      </w:r>
    </w:p>
    <w:p>
      <w:pPr>
        <w:pStyle w:val="TextBody"/>
        <w:pBdr>
          <w:top w:val="single" w:sz="18" w:space="1" w:color="000000"/>
        </w:pBdr>
        <w:bidi w:val="0"/>
        <w:jc w:val="center"/>
        <w:rPr/>
      </w:pPr>
      <w:r>
        <w:rPr/>
        <w:t> </w:t>
      </w:r>
    </w:p>
    <w:p>
      <w:pPr>
        <w:pStyle w:val="TextBody"/>
        <w:bidi w:val="0"/>
        <w:spacing w:before="120" w:after="120"/>
        <w:jc w:val="center"/>
        <w:rPr>
          <w:rFonts w:ascii="Times New Roman" w:hAnsi="Times New Roman"/>
          <w:b/>
          <w:color w:val="000000"/>
          <w:sz w:val="20"/>
        </w:rPr>
      </w:pPr>
      <w:r>
        <w:rPr>
          <w:rFonts w:ascii="Times New Roman" w:hAnsi="Times New Roman"/>
          <w:b/>
          <w:color w:val="000000"/>
          <w:sz w:val="20"/>
        </w:rPr>
        <w:t>PART IV — OTHER INFORMATION</w:t>
      </w:r>
    </w:p>
    <w:tbl>
      <w:tblPr>
        <w:tblW w:w="6797" w:type="dxa"/>
        <w:jc w:val="left"/>
        <w:tblInd w:w="0" w:type="dxa"/>
        <w:tblLayout w:type="fixed"/>
        <w:tblCellMar>
          <w:top w:w="28" w:type="dxa"/>
          <w:left w:w="28" w:type="dxa"/>
          <w:bottom w:w="28" w:type="dxa"/>
          <w:right w:w="28" w:type="dxa"/>
        </w:tblCellMar>
      </w:tblPr>
      <w:tblGrid>
        <w:gridCol w:w="346"/>
        <w:gridCol w:w="6451"/>
      </w:tblGrid>
      <w:tr>
        <w:trPr/>
        <w:tc>
          <w:tcPr>
            <w:tcW w:w="346" w:type="dxa"/>
            <w:tcBorders/>
            <w:vAlign w:val="center"/>
          </w:tcPr>
          <w:p>
            <w:pPr>
              <w:pStyle w:val="TableContents"/>
              <w:bidi w:val="0"/>
              <w:spacing w:before="0" w:after="283"/>
              <w:jc w:val="left"/>
              <w:rPr>
                <w:sz w:val="4"/>
                <w:szCs w:val="4"/>
              </w:rPr>
            </w:pPr>
            <w:r>
              <w:rPr>
                <w:sz w:val="4"/>
                <w:szCs w:val="4"/>
              </w:rPr>
            </w:r>
          </w:p>
        </w:tc>
        <w:tc>
          <w:tcPr>
            <w:tcW w:w="6451" w:type="dxa"/>
            <w:tcBorders/>
            <w:vAlign w:val="center"/>
          </w:tcPr>
          <w:p>
            <w:pPr>
              <w:pStyle w:val="TableContents"/>
              <w:bidi w:val="0"/>
              <w:spacing w:before="0" w:after="283"/>
              <w:jc w:val="left"/>
              <w:rPr>
                <w:sz w:val="4"/>
                <w:szCs w:val="4"/>
              </w:rPr>
            </w:pPr>
            <w:r>
              <w:rPr>
                <w:sz w:val="4"/>
                <w:szCs w:val="4"/>
              </w:rPr>
            </w:r>
          </w:p>
        </w:tc>
      </w:tr>
      <w:tr>
        <w:trPr/>
        <w:tc>
          <w:tcPr>
            <w:tcW w:w="3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6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and telephone number of person to contact in regard to this notification</w:t>
            </w:r>
          </w:p>
        </w:tc>
      </w:tr>
    </w:tbl>
    <w:p>
      <w:pPr>
        <w:pStyle w:val="TextBody"/>
        <w:bidi w:val="0"/>
        <w:jc w:val="left"/>
        <w:rPr/>
      </w:pPr>
      <w:r>
        <w:rPr/>
        <w:t> </w:t>
      </w:r>
    </w:p>
    <w:tbl>
      <w:tblPr>
        <w:tblW w:w="4030" w:type="dxa"/>
        <w:jc w:val="left"/>
        <w:tblInd w:w="0" w:type="dxa"/>
        <w:tblLayout w:type="fixed"/>
        <w:tblCellMar>
          <w:top w:w="28" w:type="dxa"/>
          <w:left w:w="28" w:type="dxa"/>
          <w:bottom w:w="28" w:type="dxa"/>
          <w:right w:w="28" w:type="dxa"/>
        </w:tblCellMar>
      </w:tblPr>
      <w:tblGrid>
        <w:gridCol w:w="1096"/>
        <w:gridCol w:w="146"/>
        <w:gridCol w:w="1006"/>
        <w:gridCol w:w="146"/>
        <w:gridCol w:w="1636"/>
      </w:tblGrid>
      <w:tr>
        <w:trPr/>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109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smallCaps/>
                <w:color w:val="000000"/>
                <w:sz w:val="20"/>
              </w:rPr>
            </w:pPr>
            <w:r>
              <w:rPr>
                <w:rFonts w:ascii="Times New Roman" w:hAnsi="Times New Roman"/>
                <w:b/>
                <w:smallCaps/>
                <w:color w:val="000000"/>
                <w:sz w:val="20"/>
              </w:rPr>
              <w:t>Sally Rau</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(888)</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63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863-5250</w:t>
            </w:r>
          </w:p>
        </w:tc>
      </w:tr>
      <w:tr>
        <w:trPr/>
        <w:tc>
          <w:tcPr>
            <w:tcW w:w="10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(Area Code)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(Telephone Number)</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6"/>
        <w:gridCol w:w="9899"/>
      </w:tblGrid>
      <w:tr>
        <w:trPr/>
        <w:tc>
          <w:tcPr>
            <w:tcW w:w="306" w:type="dxa"/>
            <w:tcBorders/>
            <w:vAlign w:val="center"/>
          </w:tcPr>
          <w:p>
            <w:pPr>
              <w:pStyle w:val="TableContents"/>
              <w:bidi w:val="0"/>
              <w:spacing w:before="0" w:after="283"/>
              <w:jc w:val="left"/>
              <w:rPr>
                <w:sz w:val="4"/>
                <w:szCs w:val="4"/>
              </w:rPr>
            </w:pPr>
            <w:r>
              <w:rPr>
                <w:sz w:val="4"/>
                <w:szCs w:val="4"/>
              </w:rPr>
            </w:r>
          </w:p>
        </w:tc>
        <w:tc>
          <w:tcPr>
            <w:tcW w:w="9899" w:type="dxa"/>
            <w:tcBorders/>
            <w:vAlign w:val="center"/>
          </w:tcPr>
          <w:p>
            <w:pPr>
              <w:pStyle w:val="TableContents"/>
              <w:bidi w:val="0"/>
              <w:spacing w:before="0" w:after="283"/>
              <w:jc w:val="left"/>
              <w:rPr>
                <w:sz w:val="4"/>
                <w:szCs w:val="4"/>
              </w:rPr>
            </w:pPr>
            <w:r>
              <w:rPr>
                <w:sz w:val="4"/>
                <w:szCs w:val="4"/>
              </w:rPr>
            </w:r>
          </w:p>
        </w:tc>
      </w:tr>
      <w:tr>
        <w:trPr/>
        <w:tc>
          <w:tcPr>
            <w:tcW w:w="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98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 ☒ Yes ☐ No</w:t>
            </w:r>
          </w:p>
        </w:tc>
      </w:tr>
      <w:tr>
        <w:trPr/>
        <w:tc>
          <w:tcPr>
            <w:tcW w:w="306" w:type="dxa"/>
            <w:tcBorders/>
            <w:tcMar>
              <w:top w:w="0" w:type="dxa"/>
              <w:left w:w="0" w:type="dxa"/>
              <w:bottom w:w="0" w:type="dxa"/>
              <w:right w:w="0" w:type="dxa"/>
            </w:tcMar>
            <w:vAlign w:val="center"/>
          </w:tcPr>
          <w:p>
            <w:pPr>
              <w:pStyle w:val="TableContents"/>
              <w:bidi w:val="0"/>
              <w:spacing w:before="0" w:after="283"/>
              <w:jc w:val="left"/>
              <w:rPr/>
            </w:pPr>
            <w:r>
              <w:rPr/>
              <w:t> </w:t>
            </w:r>
          </w:p>
        </w:tc>
        <w:tc>
          <w:tcPr>
            <w:tcW w:w="989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c>
          <w:tcPr>
            <w:tcW w:w="98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Is it anticipated that any significant change in results of operations from the corresponding period for the last fiscal year will be reflected by the earnings statements to be included in the subject report or portion thereof? ☒ Yes ☐ No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If so, attach an explanation of the anticipated change, both narratively and quantitatively, and, if appropriate, state the reasons why a reasonable estimate of the results cannot be made</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estimates total revenues of approximately $40.8 million and net loss of $9.3 million for the three months ended June 30, 2026, as compared to total revenues of approximately $39.4 million and net loss of $9.1 million for the corresponding period of 2025. The Company estimates total revenues of approximately $85.4 million and net loss of $12.7 million for the six months ended June 30, 2026, as compared to total revenues of approximately $73.1 million and net loss of $21.1 million for the corresponding period of 2025. </w:t>
      </w:r>
    </w:p>
    <w:p>
      <w:pPr>
        <w:pStyle w:val="HorizontalLine"/>
        <w:pBdr>
          <w:bottom w:val="double" w:sz="2" w:space="0" w:color="808080"/>
        </w:pBdr>
        <w:bidi w:val="0"/>
        <w:spacing w:before="0" w:after="283"/>
        <w:jc w:val="left"/>
        <w:rPr/>
      </w:pPr>
      <w:r>
        <w:rPr/>
      </w:r>
    </w:p>
    <w:p>
      <w:pPr>
        <w:pStyle w:val="TextBody"/>
        <w:bidi w:val="0"/>
        <w:spacing w:before="480" w:after="283"/>
        <w:jc w:val="center"/>
        <w:rPr>
          <w:rFonts w:ascii="Times New Roman" w:hAnsi="Times New Roman"/>
          <w:b/>
          <w:color w:val="000000"/>
          <w:sz w:val="20"/>
        </w:rPr>
      </w:pPr>
      <w:r>
        <w:rPr>
          <w:rFonts w:ascii="Times New Roman" w:hAnsi="Times New Roman"/>
          <w:b/>
          <w:color w:val="000000"/>
          <w:sz w:val="20"/>
        </w:rPr>
        <w:t>CAMBIUM NETWORKS CORPORATION</w:t>
      </w:r>
    </w:p>
    <w:p>
      <w:pPr>
        <w:pStyle w:val="TextBody"/>
        <w:bidi w:val="0"/>
        <w:jc w:val="center"/>
        <w:rPr>
          <w:rFonts w:ascii="Times New Roman" w:hAnsi="Times New Roman"/>
          <w:b/>
          <w:color w:val="000000"/>
          <w:sz w:val="15"/>
        </w:rPr>
      </w:pPr>
      <w:r>
        <w:rPr>
          <w:rFonts w:ascii="Times New Roman" w:hAnsi="Times New Roman"/>
          <w:b/>
          <w:color w:val="000000"/>
          <w:sz w:val="15"/>
        </w:rPr>
        <w:t>(Name of Registrant as Specified in Charter)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Has caused this notification to be signed on its behalf by the undersigned hereunto duly authorized.</w:t>
      </w:r>
    </w:p>
    <w:tbl>
      <w:tblPr>
        <w:tblW w:w="5692" w:type="dxa"/>
        <w:jc w:val="left"/>
        <w:tblInd w:w="0" w:type="dxa"/>
        <w:tblLayout w:type="fixed"/>
        <w:tblCellMar>
          <w:top w:w="28" w:type="dxa"/>
          <w:left w:w="28" w:type="dxa"/>
          <w:bottom w:w="28" w:type="dxa"/>
          <w:right w:w="28" w:type="dxa"/>
        </w:tblCellMar>
      </w:tblPr>
      <w:tblGrid>
        <w:gridCol w:w="796"/>
        <w:gridCol w:w="146"/>
        <w:gridCol w:w="1516"/>
        <w:gridCol w:w="386"/>
        <w:gridCol w:w="871"/>
        <w:gridCol w:w="146"/>
        <w:gridCol w:w="1831"/>
      </w:tblGrid>
      <w:tr>
        <w:trPr/>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796"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August 17, 2026</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87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31" w:type="dxa"/>
            <w:tcBorders/>
            <w:tcMar>
              <w:top w:w="0" w:type="dxa"/>
              <w:left w:w="0" w:type="dxa"/>
              <w:bottom w:w="0" w:type="dxa"/>
              <w:right w:w="0" w:type="dxa"/>
            </w:tcMar>
            <w:vAlign w:val="center"/>
          </w:tcPr>
          <w:p>
            <w:pPr>
              <w:pStyle w:val="TableContents"/>
              <w:bidi w:val="0"/>
              <w:spacing w:before="0" w:after="283"/>
              <w:ind w:left="0" w:right="0" w:firstLine="240"/>
              <w:jc w:val="left"/>
              <w:rPr>
                <w:smallCaps/>
                <w:color w:val="000000"/>
              </w:rPr>
            </w:pPr>
            <w:r>
              <w:rPr>
                <w:smallCaps/>
                <w:color w:val="000000"/>
              </w:rPr>
              <w:t>  </w:t>
            </w:r>
            <w:r>
              <w:rPr>
                <w:rFonts w:ascii="Times New Roman" w:hAnsi="Times New Roman"/>
                <w:smallCaps/>
                <w:color w:val="000000"/>
                <w:sz w:val="20"/>
              </w:rPr>
              <w:t>/s/ Sally Rau</w:t>
            </w:r>
          </w:p>
        </w:tc>
      </w:tr>
      <w:tr>
        <w:trPr/>
        <w:tc>
          <w:tcPr>
            <w:tcW w:w="79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87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Name: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31" w:type="dxa"/>
            <w:tcBorders/>
            <w:tcMar>
              <w:top w:w="0" w:type="dxa"/>
              <w:left w:w="0" w:type="dxa"/>
              <w:bottom w:w="0" w:type="dxa"/>
              <w:right w:w="0" w:type="dxa"/>
            </w:tcMar>
            <w:vAlign w:val="center"/>
          </w:tcPr>
          <w:p>
            <w:pPr>
              <w:pStyle w:val="TableContents"/>
              <w:bidi w:val="0"/>
              <w:spacing w:before="0" w:after="283"/>
              <w:ind w:left="0" w:right="0" w:firstLine="240"/>
              <w:jc w:val="left"/>
              <w:rPr>
                <w:color w:val="000000"/>
              </w:rPr>
            </w:pPr>
            <w:r>
              <w:rPr>
                <w:color w:val="000000"/>
              </w:rPr>
              <w:t>  </w:t>
            </w:r>
            <w:r>
              <w:rPr>
                <w:rFonts w:ascii="Times New Roman" w:hAnsi="Times New Roman"/>
                <w:color w:val="000000"/>
                <w:sz w:val="20"/>
              </w:rPr>
              <w:t>Sally Rau</w:t>
            </w:r>
          </w:p>
        </w:tc>
      </w:tr>
      <w:tr>
        <w:trPr/>
        <w:tc>
          <w:tcPr>
            <w:tcW w:w="79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87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Title: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Chief Legal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INSTRUCTION: The form may be signed by an executive officer of the registrant or by any other duly authorized representative. The name and title of the person signing the form shall be typed or printed beneath the signature. If the statement is signed on behalf of the registrant by an authorized representative (other than an executive officer), evidence of the representative’s authority to sign on behalf of the registrant shall be filed with the form.</w:t>
      </w:r>
    </w:p>
    <w:p>
      <w:pPr>
        <w:pStyle w:val="TextBody"/>
        <w:pBdr>
          <w:top w:val="single" w:sz="6" w:space="1" w:color="000000"/>
          <w:bottom w:val="single" w:sz="6" w:space="1" w:color="000000"/>
        </w:pBdr>
        <w:bidi w:val="0"/>
        <w:spacing w:before="180" w:after="283"/>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966</Words>
  <Characters>5220</Characters>
  <CharactersWithSpaces>6190</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