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CAMBIUM NETWORKS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60" w:type="dxa"/>
        <w:tblCellMar>
          <w:top w:w="0" w:type="dxa"/>
          <w:left w:w="0" w:type="dxa"/>
          <w:bottom w:w="0" w:type="dxa"/>
          <w:right w:w="0" w:type="dxa"/>
        </w:tblCellMar>
      </w:tblPr>
      <w:tr>
        <w:trPr>
          <w:trHeight w:val="222"/>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1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001-38952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00-0000000</w:t>
            </w:r>
          </w:p>
        </w:tc>
      </w:tr>
      <w:tr>
        <w:trPr>
          <w:trHeight w:val="149"/>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60" w:type="dxa"/>
            <w:vAlign w:val="bottom"/>
          </w:tcPr>
          <w:p>
            <w:pPr>
              <w:jc w:val="center"/>
              <w:ind w:right="3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 Cambium Networks, Inc.</w:t>
            </w:r>
          </w:p>
        </w:tc>
        <w:tc>
          <w:tcPr>
            <w:tcW w:w="31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2000 Center Drive, Suite East A401</w:t>
            </w:r>
          </w:p>
        </w:tc>
        <w:tc>
          <w:tcPr>
            <w:tcW w:w="31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300" w:type="dxa"/>
            <w:vAlign w:val="bottom"/>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Hoffman Estates, Illinois</w:t>
            </w:r>
          </w:p>
        </w:tc>
        <w:tc>
          <w:tcPr>
            <w:tcW w:w="31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60192</w:t>
            </w:r>
          </w:p>
        </w:tc>
      </w:tr>
      <w:tr>
        <w:trPr>
          <w:trHeight w:val="178"/>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345 814-7600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$0.0001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CMBMF</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Cambium Networks Corporation, an exempted company incorporated with limited liability under the laws of the Cayman Islands (the “Company”), held its annual general meeting of shareholders (the “Annual Meeting”) on June 25, 2026 in a virtual-only format. As of May 15, 2026, the record date for the Annual Meeting, there were outstanding 29,032,896 shares of the Company’s ordinary shares. At the Annual Meeting, there were present, in person or by proxy, holders of 23,074,367 ordinary shares, or approximately 79.48% of the total outstanding ordinary shares entitled to vote at the Annual Meeting, which constituted a quorum for the transaction of business. The Company’s shareholders voted on the following matters, which are described in detail in the Company’s Definitive Proxy Statement filed with the U.S. Securities and Exchange Commission (“SEC”) on May 22, 2026: (i) to elect two Class III directors of the Company, Bruce Felt and Kevin Lynch, each to serve for a two-year term expiring at the Company’s annual meeting of shareholders in 2028 and until their successors have been duly elected and qualified, subject to their earlier death, resignation or removal and three Class I directors of the Company, Atul Bhatnagar, Alexander Slusky and Morgan Kurk, each to serve for a three-year term expiring at the Company's annual meeting of shareholders in 2029 and until their successors have been duly elected and qualified, subject to their earlier death, resignation or removal (“Proposal 1”),</w:t>
      </w:r>
    </w:p>
    <w:p>
      <w:pPr>
        <w:spacing w:after="0" w:line="5" w:lineRule="exact"/>
        <w:rPr>
          <w:sz w:val="20"/>
          <w:szCs w:val="20"/>
          <w:color w:val="auto"/>
        </w:rPr>
      </w:pPr>
    </w:p>
    <w:p>
      <w:pPr>
        <w:ind w:right="40" w:firstLine="8"/>
        <w:spacing w:after="0" w:line="251"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BDO USA, P.C. as the Company’s independent registered public accounting firm for the fiscal year ending December 31, 2026 (“Proposal 2”), (iii) to approve, on a non-binding, advisory basis, the compensation of the Company's named executive officers (the “say-on-pay”) (“Proposal 3”), (iv) to approve, on a non-binding, advisory basis, the frequency (every year, every two years or every three years) of future advisory votes on the compensation of the Company's named executive officers (the “say-on-frequency”) (“Proposal 4”), (v) to approve a reverse share split (“Proposal 5”), (vi) to approve an amendment to the Company's Memorandum and Articles of Association to grant its board of directors the power to deal with any fractional shares resulting from a consolidation or division of the Company's share capital (the “Fractional Share Amendment”) (“Proposal 6”), and (vii) to approve of an amendment to the Company's Memorandum and Articles of Association to reflect the reverse share split in accordance with the reverse share split ratio selected by the board of directors (the “RSS Amendment”) (“Proposal 7”).</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Proposal 1, the election of two Class III directors, and three Class I directors, the Company's shareholders cast their votes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Class III Director Nominee</w:t>
            </w:r>
          </w:p>
        </w:tc>
        <w:tc>
          <w:tcPr>
            <w:tcW w:w="3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3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Bruce Felt</w:t>
            </w:r>
          </w:p>
        </w:tc>
        <w:tc>
          <w:tcPr>
            <w:tcW w:w="236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8"/>
              </w:rPr>
              <w:t>16,177,072</w:t>
            </w:r>
          </w:p>
        </w:tc>
        <w:tc>
          <w:tcPr>
            <w:tcW w:w="2340" w:type="dxa"/>
            <w:vAlign w:val="bottom"/>
            <w:gridSpan w:val="2"/>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rPr>
              <w:t>413,716</w:t>
            </w:r>
          </w:p>
        </w:tc>
        <w:tc>
          <w:tcPr>
            <w:tcW w:w="2340" w:type="dxa"/>
            <w:vAlign w:val="bottom"/>
            <w:gridSpan w:val="2"/>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w w:val="99"/>
              </w:rPr>
              <w:t>6,483,579</w:t>
            </w: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Kevin Lynch</w:t>
            </w:r>
          </w:p>
        </w:tc>
        <w:tc>
          <w:tcPr>
            <w:tcW w:w="23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8"/>
              </w:rPr>
              <w:t>16,183,267</w:t>
            </w:r>
          </w:p>
        </w:tc>
        <w:tc>
          <w:tcPr>
            <w:tcW w:w="23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407,521</w:t>
            </w:r>
          </w:p>
        </w:tc>
        <w:tc>
          <w:tcPr>
            <w:tcW w:w="23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6,483,579</w:t>
            </w:r>
          </w:p>
        </w:tc>
      </w:tr>
      <w:tr>
        <w:trPr>
          <w:trHeight w:val="427"/>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Class I Director Nominee</w:t>
            </w:r>
          </w:p>
        </w:tc>
        <w:tc>
          <w:tcPr>
            <w:tcW w:w="340" w:type="dxa"/>
            <w:vAlign w:val="bottom"/>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40" w:type="dxa"/>
            <w:vAlign w:val="bottom"/>
          </w:tcPr>
          <w:p>
            <w:pPr>
              <w:spacing w:after="0"/>
              <w:rPr>
                <w:sz w:val="24"/>
                <w:szCs w:val="24"/>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340" w:type="dxa"/>
            <w:vAlign w:val="bottom"/>
          </w:tcPr>
          <w:p>
            <w:pPr>
              <w:spacing w:after="0"/>
              <w:rPr>
                <w:sz w:val="24"/>
                <w:szCs w:val="24"/>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Atul Bhatnagar</w:t>
            </w:r>
          </w:p>
        </w:tc>
        <w:tc>
          <w:tcPr>
            <w:tcW w:w="3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16,128,859</w:t>
            </w:r>
          </w:p>
        </w:tc>
        <w:tc>
          <w:tcPr>
            <w:tcW w:w="3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461,929</w:t>
            </w:r>
          </w:p>
        </w:tc>
        <w:tc>
          <w:tcPr>
            <w:tcW w:w="3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6,483,579</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Alexander Slusky</w:t>
            </w:r>
          </w:p>
        </w:tc>
        <w:tc>
          <w:tcPr>
            <w:tcW w:w="236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8"/>
              </w:rPr>
              <w:t>16,419,876</w:t>
            </w:r>
          </w:p>
        </w:tc>
        <w:tc>
          <w:tcPr>
            <w:tcW w:w="2340" w:type="dxa"/>
            <w:vAlign w:val="bottom"/>
            <w:gridSpan w:val="2"/>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rPr>
              <w:t>170,912</w:t>
            </w:r>
          </w:p>
        </w:tc>
        <w:tc>
          <w:tcPr>
            <w:tcW w:w="2340" w:type="dxa"/>
            <w:vAlign w:val="bottom"/>
            <w:gridSpan w:val="2"/>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w w:val="99"/>
              </w:rPr>
              <w:t>6,483,579</w:t>
            </w: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Morgan Kurk</w:t>
            </w:r>
          </w:p>
        </w:tc>
        <w:tc>
          <w:tcPr>
            <w:tcW w:w="23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8"/>
              </w:rPr>
              <w:t>16,139,012</w:t>
            </w:r>
          </w:p>
        </w:tc>
        <w:tc>
          <w:tcPr>
            <w:tcW w:w="23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451,776</w:t>
            </w:r>
          </w:p>
        </w:tc>
        <w:tc>
          <w:tcPr>
            <w:tcW w:w="23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6,483,579</w:t>
            </w: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Proposal 2, the ratification of the appointment of BDO USA, P.C. as independent registered public accounting firm for the fiscal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2026, the Company's shareholders cast their votes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0" w:type="dxa"/>
            <w:vAlign w:val="bottom"/>
          </w:tcPr>
          <w:p>
            <w:pPr>
              <w:spacing w:after="0"/>
              <w:rPr>
                <w:sz w:val="20"/>
                <w:szCs w:val="20"/>
                <w:color w:val="auto"/>
              </w:rPr>
            </w:pPr>
          </w:p>
        </w:tc>
        <w:tc>
          <w:tcPr>
            <w:tcW w:w="35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0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0"/>
        </w:trPr>
        <w:tc>
          <w:tcPr>
            <w:tcW w:w="3560" w:type="dxa"/>
            <w:vAlign w:val="bottom"/>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rPr>
              <w:t>22,368,200</w:t>
            </w:r>
          </w:p>
        </w:tc>
        <w:tc>
          <w:tcPr>
            <w:tcW w:w="3840" w:type="dxa"/>
            <w:vAlign w:val="bottom"/>
            <w:gridSpan w:val="2"/>
            <w:shd w:val="clear" w:color="auto" w:fill="CFF0FC"/>
          </w:tcPr>
          <w:p>
            <w:pPr>
              <w:ind w:left="1780"/>
              <w:spacing w:after="0"/>
              <w:rPr>
                <w:sz w:val="20"/>
                <w:szCs w:val="20"/>
                <w:color w:val="auto"/>
              </w:rPr>
            </w:pPr>
            <w:r>
              <w:rPr>
                <w:rFonts w:ascii="Times New Roman" w:cs="Times New Roman" w:eastAsia="Times New Roman" w:hAnsi="Times New Roman"/>
                <w:sz w:val="18"/>
                <w:szCs w:val="18"/>
                <w:color w:val="auto"/>
              </w:rPr>
              <w:t>663,364</w:t>
            </w:r>
          </w:p>
        </w:tc>
        <w:tc>
          <w:tcPr>
            <w:tcW w:w="3840" w:type="dxa"/>
            <w:vAlign w:val="bottom"/>
            <w:gridSpan w:val="2"/>
            <w:shd w:val="clear" w:color="auto" w:fill="CFF0FC"/>
          </w:tcPr>
          <w:p>
            <w:pPr>
              <w:jc w:val="right"/>
              <w:ind w:right="1430"/>
              <w:spacing w:after="0"/>
              <w:rPr>
                <w:sz w:val="20"/>
                <w:szCs w:val="20"/>
                <w:color w:val="auto"/>
              </w:rPr>
            </w:pPr>
            <w:r>
              <w:rPr>
                <w:rFonts w:ascii="Times New Roman" w:cs="Times New Roman" w:eastAsia="Times New Roman" w:hAnsi="Times New Roman"/>
                <w:sz w:val="18"/>
                <w:szCs w:val="18"/>
                <w:color w:val="auto"/>
              </w:rPr>
              <w:t>42,803</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Proposal 3, the approval, on a non-binding, advisory basis, the compensation of the Company's named executive officers (the “say-on-pay”),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shareholders cast their votes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0" w:type="dxa"/>
            <w:vAlign w:val="bottom"/>
          </w:tcPr>
          <w:p>
            <w:pPr>
              <w:spacing w:after="0"/>
              <w:rPr>
                <w:sz w:val="20"/>
                <w:szCs w:val="20"/>
                <w:color w:val="auto"/>
              </w:rPr>
            </w:pPr>
          </w:p>
        </w:tc>
        <w:tc>
          <w:tcPr>
            <w:tcW w:w="26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0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Withheld/Abstain</w:t>
            </w:r>
          </w:p>
        </w:tc>
        <w:tc>
          <w:tcPr>
            <w:tcW w:w="300" w:type="dxa"/>
            <w:vAlign w:val="bottom"/>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09"/>
        </w:trPr>
        <w:tc>
          <w:tcPr>
            <w:tcW w:w="24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16,123,519</w:t>
            </w:r>
          </w:p>
        </w:tc>
        <w:tc>
          <w:tcPr>
            <w:tcW w:w="2960" w:type="dxa"/>
            <w:vAlign w:val="bottom"/>
            <w:gridSpan w:val="2"/>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438,677</w:t>
            </w:r>
          </w:p>
        </w:tc>
        <w:tc>
          <w:tcPr>
            <w:tcW w:w="302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28,592</w:t>
            </w:r>
          </w:p>
        </w:tc>
        <w:tc>
          <w:tcPr>
            <w:tcW w:w="286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6,483,579</w:t>
            </w:r>
          </w:p>
        </w:tc>
      </w:tr>
    </w:tbl>
    <w:p>
      <w:pPr>
        <w:spacing w:after="0" w:line="198" w:lineRule="exact"/>
        <w:rPr>
          <w:sz w:val="20"/>
          <w:szCs w:val="20"/>
          <w:color w:val="auto"/>
        </w:rPr>
      </w:pPr>
    </w:p>
    <w:p>
      <w:pPr>
        <w:jc w:val="both"/>
        <w:ind w:right="240" w:firstLine="509"/>
        <w:spacing w:after="0" w:line="282" w:lineRule="auto"/>
        <w:rPr>
          <w:sz w:val="20"/>
          <w:szCs w:val="20"/>
          <w:color w:val="auto"/>
        </w:rPr>
      </w:pPr>
      <w:r>
        <w:rPr>
          <w:rFonts w:ascii="Times New Roman" w:cs="Times New Roman" w:eastAsia="Times New Roman" w:hAnsi="Times New Roman"/>
          <w:sz w:val="18"/>
          <w:szCs w:val="18"/>
          <w:color w:val="auto"/>
        </w:rPr>
        <w:t>On Proposal 4, the approval, on a non-binding, advisory basis, the frequency (every year, every two years or every three years) of future advisory votes on the compensation of the Company's named executive officers (the “say-on-frequency”), the Company's shareholders cast their votes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60" w:type="dxa"/>
            <w:vAlign w:val="bottom"/>
          </w:tcPr>
          <w:p>
            <w:pPr>
              <w:spacing w:after="0"/>
              <w:rPr>
                <w:sz w:val="20"/>
                <w:szCs w:val="20"/>
                <w:color w:val="auto"/>
              </w:rPr>
            </w:pPr>
          </w:p>
        </w:tc>
        <w:tc>
          <w:tcPr>
            <w:tcW w:w="1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2 Years</w:t>
            </w:r>
          </w:p>
        </w:tc>
        <w:tc>
          <w:tcPr>
            <w:tcW w:w="28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 Years</w:t>
            </w:r>
          </w:p>
        </w:tc>
        <w:tc>
          <w:tcPr>
            <w:tcW w:w="28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Withheld/Abstain</w:t>
            </w:r>
          </w:p>
        </w:tc>
        <w:tc>
          <w:tcPr>
            <w:tcW w:w="26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10"/>
        </w:trPr>
        <w:tc>
          <w:tcPr>
            <w:tcW w:w="212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593,405</w:t>
            </w:r>
          </w:p>
        </w:tc>
        <w:tc>
          <w:tcPr>
            <w:tcW w:w="220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571,828</w:t>
            </w:r>
          </w:p>
        </w:tc>
        <w:tc>
          <w:tcPr>
            <w:tcW w:w="226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15,316,241</w:t>
            </w:r>
          </w:p>
        </w:tc>
        <w:tc>
          <w:tcPr>
            <w:tcW w:w="2240" w:type="dxa"/>
            <w:vAlign w:val="bottom"/>
            <w:gridSpan w:val="2"/>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109,314</w:t>
            </w:r>
          </w:p>
        </w:tc>
        <w:tc>
          <w:tcPr>
            <w:tcW w:w="242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6,483,579</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Proposal 5, the approval of a reverse share split, the Company's shareholders cast their votes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420" w:type="dxa"/>
            <w:vAlign w:val="bottom"/>
          </w:tcPr>
          <w:p>
            <w:pPr>
              <w:spacing w:after="0"/>
              <w:rPr>
                <w:sz w:val="20"/>
                <w:szCs w:val="20"/>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42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Withheld/Abstain</w:t>
            </w:r>
          </w:p>
        </w:tc>
      </w:tr>
      <w:tr>
        <w:trPr>
          <w:trHeight w:val="209"/>
        </w:trPr>
        <w:tc>
          <w:tcPr>
            <w:tcW w:w="320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rPr>
              <w:t>20,377,197</w:t>
            </w:r>
          </w:p>
        </w:tc>
        <w:tc>
          <w:tcPr>
            <w:tcW w:w="3980" w:type="dxa"/>
            <w:vAlign w:val="bottom"/>
            <w:gridSpan w:val="2"/>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rPr>
              <w:t>1,154,911</w:t>
            </w:r>
          </w:p>
        </w:tc>
        <w:tc>
          <w:tcPr>
            <w:tcW w:w="4060" w:type="dxa"/>
            <w:vAlign w:val="bottom"/>
            <w:gridSpan w:val="2"/>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1,542,259</w:t>
            </w:r>
          </w:p>
        </w:tc>
      </w:tr>
      <w:tr>
        <w:trPr>
          <w:trHeight w:val="979"/>
        </w:trPr>
        <w:tc>
          <w:tcPr>
            <w:tcW w:w="3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Proposal 6, the approval of an amendment to the Company's Memorandum and Articles of Association to grant its board of directors the power to deal with any fractional shares resulting from a consolidation or division of the Company's share capital (the “Fractional Share Amendment”), the Company's shareholders cast their votes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0" w:type="dxa"/>
            <w:vAlign w:val="bottom"/>
          </w:tcPr>
          <w:p>
            <w:pPr>
              <w:spacing w:after="0"/>
              <w:rPr>
                <w:sz w:val="20"/>
                <w:szCs w:val="20"/>
                <w:color w:val="auto"/>
              </w:rPr>
            </w:pPr>
          </w:p>
        </w:tc>
        <w:tc>
          <w:tcPr>
            <w:tcW w:w="26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0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Withheld/Abstain</w:t>
            </w:r>
          </w:p>
        </w:tc>
        <w:tc>
          <w:tcPr>
            <w:tcW w:w="300" w:type="dxa"/>
            <w:vAlign w:val="bottom"/>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10"/>
        </w:trPr>
        <w:tc>
          <w:tcPr>
            <w:tcW w:w="24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16,210,876</w:t>
            </w:r>
          </w:p>
        </w:tc>
        <w:tc>
          <w:tcPr>
            <w:tcW w:w="2960" w:type="dxa"/>
            <w:vAlign w:val="bottom"/>
            <w:gridSpan w:val="2"/>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343,731</w:t>
            </w:r>
          </w:p>
        </w:tc>
        <w:tc>
          <w:tcPr>
            <w:tcW w:w="302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36,181</w:t>
            </w:r>
          </w:p>
        </w:tc>
        <w:tc>
          <w:tcPr>
            <w:tcW w:w="286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6,483,579</w:t>
            </w:r>
          </w:p>
        </w:tc>
      </w:tr>
    </w:tbl>
    <w:p>
      <w:pPr>
        <w:spacing w:after="0" w:line="198"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On Proposal 7, the approval of an amendment to the Company's Memorandum and Articles of Association to reflect the reverse share split in accordance with the reverse share split ratio selected by the board of directors (the “RSS Amendment”), the Company's shareholders cast their votes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420" w:type="dxa"/>
            <w:vAlign w:val="bottom"/>
          </w:tcPr>
          <w:p>
            <w:pPr>
              <w:spacing w:after="0"/>
              <w:rPr>
                <w:sz w:val="20"/>
                <w:szCs w:val="20"/>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42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Withheld/Abstain</w:t>
            </w:r>
          </w:p>
        </w:tc>
      </w:tr>
      <w:tr>
        <w:trPr>
          <w:trHeight w:val="210"/>
        </w:trPr>
        <w:tc>
          <w:tcPr>
            <w:tcW w:w="320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rPr>
              <w:t>21,811,250</w:t>
            </w:r>
          </w:p>
        </w:tc>
        <w:tc>
          <w:tcPr>
            <w:tcW w:w="3980" w:type="dxa"/>
            <w:vAlign w:val="bottom"/>
            <w:gridSpan w:val="2"/>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rPr>
              <w:t>1,060,757</w:t>
            </w:r>
          </w:p>
        </w:tc>
        <w:tc>
          <w:tcPr>
            <w:tcW w:w="4060" w:type="dxa"/>
            <w:vAlign w:val="bottom"/>
            <w:gridSpan w:val="2"/>
            <w:shd w:val="clear" w:color="auto" w:fill="CFF0FC"/>
          </w:tcPr>
          <w:p>
            <w:pPr>
              <w:jc w:val="right"/>
              <w:ind w:right="1450"/>
              <w:spacing w:after="0"/>
              <w:rPr>
                <w:sz w:val="20"/>
                <w:szCs w:val="20"/>
                <w:color w:val="auto"/>
              </w:rPr>
            </w:pPr>
            <w:r>
              <w:rPr>
                <w:rFonts w:ascii="Times New Roman" w:cs="Times New Roman" w:eastAsia="Times New Roman" w:hAnsi="Times New Roman"/>
                <w:sz w:val="18"/>
                <w:szCs w:val="18"/>
                <w:color w:val="auto"/>
              </w:rPr>
              <w:t>202,360</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other matters were submitted to or voted on by the Company's shareholders at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0"/>
                <w:szCs w:val="20"/>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40"/>
        </w:trPr>
        <w:tc>
          <w:tcPr>
            <w:tcW w:w="13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9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3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96"/>
              </w:rPr>
              <w:t>104</w:t>
            </w:r>
          </w:p>
        </w:tc>
        <w:tc>
          <w:tcPr>
            <w:tcW w:w="120" w:type="dxa"/>
            <w:vAlign w:val="bottom"/>
            <w:vMerge w:val="continue"/>
          </w:tcPr>
          <w:p>
            <w:pPr>
              <w:spacing w:after="0"/>
              <w:rPr>
                <w:sz w:val="19"/>
                <w:szCs w:val="19"/>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15"/>
        </w:trPr>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CAMBIUM NETWORKS CORPORATION</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26, 2026</w:t>
            </w:r>
          </w:p>
        </w:tc>
        <w:tc>
          <w:tcPr>
            <w:tcW w:w="25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ally</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au</w:t>
            </w:r>
          </w:p>
        </w:tc>
      </w:tr>
      <w:tr>
        <w:trPr>
          <w:trHeight w:val="191"/>
        </w:trPr>
        <w:tc>
          <w:tcPr>
            <w:tcW w:w="3540" w:type="dxa"/>
            <w:vAlign w:val="bottom"/>
          </w:tcPr>
          <w:p>
            <w:pPr>
              <w:spacing w:after="0"/>
              <w:rPr>
                <w:sz w:val="16"/>
                <w:szCs w:val="16"/>
                <w:color w:val="auto"/>
              </w:rPr>
            </w:pPr>
          </w:p>
        </w:tc>
        <w:tc>
          <w:tcPr>
            <w:tcW w:w="2540" w:type="dxa"/>
            <w:vAlign w:val="bottom"/>
          </w:tcPr>
          <w:p>
            <w:pPr>
              <w:ind w:left="18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Sally Rau</w:t>
            </w:r>
          </w:p>
        </w:tc>
      </w:tr>
      <w:tr>
        <w:trPr>
          <w:trHeight w:val="248"/>
        </w:trPr>
        <w:tc>
          <w:tcPr>
            <w:tcW w:w="3540" w:type="dxa"/>
            <w:vAlign w:val="bottom"/>
          </w:tcPr>
          <w:p>
            <w:pPr>
              <w:spacing w:after="0"/>
              <w:rPr>
                <w:sz w:val="21"/>
                <w:szCs w:val="21"/>
                <w:color w:val="auto"/>
              </w:rPr>
            </w:pPr>
          </w:p>
        </w:tc>
        <w:tc>
          <w:tcPr>
            <w:tcW w:w="25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1141"/>
        </w:trPr>
        <w:tc>
          <w:tcPr>
            <w:tcW w:w="35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2026-06-26T16:20:03Z</dcterms:created>
  <dcterms:modified xsi:type="dcterms:W3CDTF">2026-06-26T16:20:03Z</dcterms:modified>
</cp:coreProperties>
</file>